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6D1" w:rsidRDefault="00A526D1" w:rsidP="00A526D1">
      <w:pPr>
        <w:spacing w:line="259" w:lineRule="auto"/>
        <w:jc w:val="center"/>
        <w:rPr>
          <w:rFonts w:cs="Times New Roman"/>
          <w:b/>
          <w:sz w:val="28"/>
          <w:szCs w:val="28"/>
        </w:rPr>
      </w:pPr>
    </w:p>
    <w:p w:rsidR="00A526D1" w:rsidRDefault="00A526D1" w:rsidP="00EB61E1">
      <w:pPr>
        <w:jc w:val="center"/>
        <w:rPr>
          <w:rFonts w:cs="Times New Roman"/>
          <w:b/>
          <w:sz w:val="32"/>
          <w:szCs w:val="28"/>
        </w:rPr>
      </w:pPr>
      <w:r w:rsidRPr="00B83573">
        <w:rPr>
          <w:rFonts w:cs="Times New Roman"/>
          <w:b/>
          <w:sz w:val="32"/>
          <w:szCs w:val="28"/>
        </w:rPr>
        <w:t>NOCIÓN DE PELIGRO DESDE EL LIBERALISMO DE MICHEL FOUCAULT</w:t>
      </w:r>
    </w:p>
    <w:p w:rsidR="00A526D1" w:rsidRPr="00B83573" w:rsidRDefault="00A526D1" w:rsidP="00A526D1">
      <w:pPr>
        <w:jc w:val="center"/>
        <w:rPr>
          <w:rFonts w:cs="Times New Roman"/>
          <w:b/>
          <w:sz w:val="32"/>
          <w:szCs w:val="28"/>
        </w:rPr>
      </w:pPr>
    </w:p>
    <w:p w:rsidR="00A526D1" w:rsidRDefault="00A526D1" w:rsidP="00A526D1">
      <w:pPr>
        <w:jc w:val="center"/>
        <w:rPr>
          <w:rFonts w:cs="Times New Roman"/>
          <w:bCs/>
          <w:szCs w:val="24"/>
        </w:rPr>
      </w:pPr>
      <w:r w:rsidRPr="00150B58">
        <w:rPr>
          <w:rFonts w:cs="Times New Roman"/>
          <w:bCs/>
          <w:noProof/>
          <w:szCs w:val="24"/>
          <w:lang w:eastAsia="es-CO"/>
        </w:rPr>
        <w:drawing>
          <wp:inline distT="0" distB="0" distL="0" distR="0">
            <wp:extent cx="4043560" cy="2075935"/>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0223" cy="2079356"/>
                    </a:xfrm>
                    <a:prstGeom prst="rect">
                      <a:avLst/>
                    </a:prstGeom>
                    <a:noFill/>
                    <a:ln>
                      <a:noFill/>
                    </a:ln>
                  </pic:spPr>
                </pic:pic>
              </a:graphicData>
            </a:graphic>
          </wp:inline>
        </w:drawing>
      </w:r>
    </w:p>
    <w:p w:rsidR="00A526D1" w:rsidRDefault="00A526D1" w:rsidP="00A526D1">
      <w:pPr>
        <w:jc w:val="center"/>
        <w:rPr>
          <w:rFonts w:cs="Times New Roman"/>
          <w:bCs/>
          <w:szCs w:val="24"/>
        </w:rPr>
      </w:pPr>
    </w:p>
    <w:p w:rsidR="00A526D1" w:rsidRDefault="000C3ADF" w:rsidP="000C3ADF">
      <w:pPr>
        <w:jc w:val="center"/>
        <w:rPr>
          <w:rFonts w:cs="Times New Roman"/>
          <w:b/>
          <w:bCs/>
          <w:sz w:val="28"/>
          <w:szCs w:val="28"/>
        </w:rPr>
      </w:pPr>
      <w:r>
        <w:rPr>
          <w:rFonts w:cs="Times New Roman"/>
          <w:b/>
          <w:bCs/>
          <w:sz w:val="28"/>
          <w:szCs w:val="28"/>
        </w:rPr>
        <w:t>Yosselyn López Herrera</w:t>
      </w:r>
    </w:p>
    <w:p w:rsidR="00A526D1" w:rsidRDefault="00A526D1" w:rsidP="00A526D1">
      <w:pPr>
        <w:jc w:val="center"/>
        <w:rPr>
          <w:rFonts w:cs="Times New Roman"/>
          <w:b/>
          <w:bCs/>
          <w:sz w:val="28"/>
          <w:szCs w:val="28"/>
        </w:rPr>
      </w:pPr>
    </w:p>
    <w:p w:rsidR="00A526D1" w:rsidRDefault="00A526D1" w:rsidP="00A526D1">
      <w:pPr>
        <w:jc w:val="center"/>
        <w:rPr>
          <w:rFonts w:cs="Times New Roman"/>
          <w:b/>
          <w:bCs/>
          <w:sz w:val="28"/>
          <w:szCs w:val="28"/>
        </w:rPr>
      </w:pPr>
    </w:p>
    <w:p w:rsidR="00A526D1" w:rsidRDefault="00A526D1" w:rsidP="00A526D1">
      <w:pPr>
        <w:jc w:val="center"/>
        <w:rPr>
          <w:rFonts w:cs="Times New Roman"/>
          <w:b/>
          <w:bCs/>
          <w:sz w:val="28"/>
          <w:szCs w:val="28"/>
        </w:rPr>
      </w:pPr>
    </w:p>
    <w:p w:rsidR="00A526D1" w:rsidRPr="000C05CE" w:rsidRDefault="00A526D1" w:rsidP="0066010E">
      <w:pPr>
        <w:jc w:val="center"/>
        <w:rPr>
          <w:rFonts w:cs="Times New Roman"/>
          <w:b/>
          <w:bCs/>
          <w:sz w:val="28"/>
          <w:szCs w:val="28"/>
        </w:rPr>
      </w:pPr>
      <w:r w:rsidRPr="000C05CE">
        <w:rPr>
          <w:rFonts w:cs="Times New Roman"/>
          <w:b/>
          <w:bCs/>
          <w:sz w:val="28"/>
          <w:szCs w:val="28"/>
        </w:rPr>
        <w:t>Universidad de Cartagena</w:t>
      </w:r>
    </w:p>
    <w:p w:rsidR="00A526D1" w:rsidRPr="000C05CE" w:rsidRDefault="00A526D1" w:rsidP="00A526D1">
      <w:pPr>
        <w:jc w:val="center"/>
        <w:rPr>
          <w:rFonts w:cs="Times New Roman"/>
          <w:b/>
          <w:bCs/>
          <w:sz w:val="28"/>
          <w:szCs w:val="28"/>
        </w:rPr>
      </w:pPr>
      <w:r w:rsidRPr="000C05CE">
        <w:rPr>
          <w:rFonts w:cs="Times New Roman"/>
          <w:b/>
          <w:bCs/>
          <w:sz w:val="28"/>
          <w:szCs w:val="28"/>
        </w:rPr>
        <w:t>Facultad de Ciencias Humanas</w:t>
      </w:r>
    </w:p>
    <w:p w:rsidR="00A526D1" w:rsidRPr="000C05CE" w:rsidRDefault="00A526D1" w:rsidP="00A526D1">
      <w:pPr>
        <w:jc w:val="center"/>
        <w:rPr>
          <w:rFonts w:cs="Times New Roman"/>
          <w:b/>
          <w:bCs/>
          <w:sz w:val="28"/>
          <w:szCs w:val="28"/>
        </w:rPr>
      </w:pPr>
      <w:r>
        <w:rPr>
          <w:rFonts w:cs="Times New Roman"/>
          <w:b/>
          <w:bCs/>
          <w:sz w:val="28"/>
          <w:szCs w:val="28"/>
        </w:rPr>
        <w:t>Programa de Filosofía</w:t>
      </w:r>
    </w:p>
    <w:p w:rsidR="00A526D1" w:rsidRPr="000C05CE" w:rsidRDefault="00A526D1" w:rsidP="00A526D1">
      <w:pPr>
        <w:jc w:val="center"/>
        <w:rPr>
          <w:rFonts w:cs="Times New Roman"/>
          <w:b/>
          <w:bCs/>
          <w:sz w:val="28"/>
          <w:szCs w:val="28"/>
        </w:rPr>
      </w:pPr>
      <w:r w:rsidRPr="000C05CE">
        <w:rPr>
          <w:rFonts w:cs="Times New Roman"/>
          <w:b/>
          <w:bCs/>
          <w:sz w:val="28"/>
          <w:szCs w:val="28"/>
        </w:rPr>
        <w:t>Cartagena de Indias</w:t>
      </w:r>
    </w:p>
    <w:p w:rsidR="00A526D1" w:rsidRDefault="000C3ADF" w:rsidP="00A526D1">
      <w:pPr>
        <w:jc w:val="center"/>
        <w:rPr>
          <w:rFonts w:cs="Times New Roman"/>
          <w:b/>
          <w:sz w:val="28"/>
          <w:szCs w:val="28"/>
        </w:rPr>
      </w:pPr>
      <w:r>
        <w:rPr>
          <w:rFonts w:cs="Times New Roman"/>
          <w:b/>
          <w:bCs/>
          <w:sz w:val="28"/>
          <w:szCs w:val="28"/>
        </w:rPr>
        <w:t>2019</w:t>
      </w:r>
    </w:p>
    <w:p w:rsidR="00A526D1" w:rsidRDefault="00A526D1" w:rsidP="00A526D1">
      <w:pPr>
        <w:rPr>
          <w:rFonts w:cs="Times New Roman"/>
          <w:b/>
          <w:sz w:val="28"/>
          <w:szCs w:val="28"/>
        </w:rPr>
      </w:pPr>
    </w:p>
    <w:p w:rsidR="00EB61E1" w:rsidRDefault="00EB61E1" w:rsidP="00A526D1">
      <w:pPr>
        <w:jc w:val="center"/>
        <w:rPr>
          <w:rFonts w:cs="Times New Roman"/>
          <w:b/>
          <w:sz w:val="28"/>
          <w:szCs w:val="28"/>
        </w:rPr>
      </w:pPr>
    </w:p>
    <w:p w:rsidR="00A526D1" w:rsidRPr="00167857" w:rsidRDefault="00A526D1" w:rsidP="00A526D1">
      <w:pPr>
        <w:jc w:val="center"/>
        <w:rPr>
          <w:rFonts w:cs="Times New Roman"/>
          <w:b/>
          <w:sz w:val="28"/>
          <w:szCs w:val="28"/>
        </w:rPr>
      </w:pPr>
      <w:r w:rsidRPr="00167857">
        <w:rPr>
          <w:rFonts w:cs="Times New Roman"/>
          <w:b/>
          <w:sz w:val="28"/>
          <w:szCs w:val="28"/>
        </w:rPr>
        <w:lastRenderedPageBreak/>
        <w:t>NOCIÓN DE PELIGRO DESDE EL LIBERALISMO DE MICHEL FOUCAULT.</w:t>
      </w:r>
    </w:p>
    <w:p w:rsidR="00A526D1" w:rsidRDefault="00A526D1" w:rsidP="00A526D1">
      <w:pPr>
        <w:jc w:val="center"/>
        <w:rPr>
          <w:rFonts w:cs="Times New Roman"/>
          <w:b/>
          <w:sz w:val="32"/>
          <w:szCs w:val="28"/>
        </w:rPr>
      </w:pPr>
    </w:p>
    <w:p w:rsidR="00A526D1" w:rsidRDefault="00A526D1" w:rsidP="00A526D1">
      <w:pPr>
        <w:jc w:val="center"/>
        <w:rPr>
          <w:rFonts w:cs="Times New Roman"/>
          <w:bCs/>
          <w:szCs w:val="24"/>
        </w:rPr>
      </w:pPr>
      <w:r w:rsidRPr="00150B58">
        <w:rPr>
          <w:rFonts w:cs="Times New Roman"/>
          <w:bCs/>
          <w:noProof/>
          <w:szCs w:val="24"/>
          <w:lang w:eastAsia="es-CO"/>
        </w:rPr>
        <w:drawing>
          <wp:inline distT="0" distB="0" distL="0" distR="0">
            <wp:extent cx="3890513" cy="1997362"/>
            <wp:effectExtent l="1905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89876" cy="1997035"/>
                    </a:xfrm>
                    <a:prstGeom prst="rect">
                      <a:avLst/>
                    </a:prstGeom>
                    <a:noFill/>
                    <a:ln>
                      <a:noFill/>
                    </a:ln>
                  </pic:spPr>
                </pic:pic>
              </a:graphicData>
            </a:graphic>
          </wp:inline>
        </w:drawing>
      </w:r>
    </w:p>
    <w:p w:rsidR="00A526D1" w:rsidRDefault="00A526D1" w:rsidP="00A526D1">
      <w:pPr>
        <w:jc w:val="center"/>
        <w:rPr>
          <w:rFonts w:cs="Times New Roman"/>
          <w:bCs/>
          <w:szCs w:val="24"/>
        </w:rPr>
      </w:pPr>
    </w:p>
    <w:p w:rsidR="00A526D1" w:rsidRPr="000C05CE" w:rsidRDefault="00A526D1" w:rsidP="000C3ADF">
      <w:pPr>
        <w:jc w:val="center"/>
        <w:rPr>
          <w:rFonts w:cs="Times New Roman"/>
          <w:b/>
          <w:bCs/>
          <w:sz w:val="28"/>
          <w:szCs w:val="28"/>
        </w:rPr>
      </w:pPr>
      <w:r>
        <w:rPr>
          <w:rFonts w:cs="Times New Roman"/>
          <w:b/>
          <w:bCs/>
          <w:sz w:val="28"/>
          <w:szCs w:val="28"/>
        </w:rPr>
        <w:t>Yosselyn López Herrera</w:t>
      </w:r>
    </w:p>
    <w:p w:rsidR="00A526D1" w:rsidRPr="000C05CE" w:rsidRDefault="00A526D1" w:rsidP="000C3ADF">
      <w:pPr>
        <w:spacing w:line="240" w:lineRule="auto"/>
        <w:jc w:val="center"/>
        <w:rPr>
          <w:rFonts w:cs="Times New Roman"/>
          <w:b/>
          <w:bCs/>
          <w:sz w:val="28"/>
          <w:szCs w:val="28"/>
        </w:rPr>
      </w:pPr>
      <w:r w:rsidRPr="000C05CE">
        <w:rPr>
          <w:rFonts w:cs="Times New Roman"/>
          <w:b/>
          <w:bCs/>
          <w:sz w:val="28"/>
          <w:szCs w:val="28"/>
        </w:rPr>
        <w:t>Requisito para optar al título de:</w:t>
      </w:r>
    </w:p>
    <w:p w:rsidR="00A526D1" w:rsidRDefault="00A526D1" w:rsidP="000C3ADF">
      <w:pPr>
        <w:spacing w:line="240" w:lineRule="auto"/>
        <w:jc w:val="center"/>
        <w:rPr>
          <w:rFonts w:cs="Times New Roman"/>
          <w:b/>
          <w:bCs/>
          <w:sz w:val="28"/>
          <w:szCs w:val="28"/>
        </w:rPr>
      </w:pPr>
      <w:r>
        <w:rPr>
          <w:rFonts w:cs="Times New Roman"/>
          <w:b/>
          <w:bCs/>
          <w:sz w:val="28"/>
          <w:szCs w:val="28"/>
        </w:rPr>
        <w:t>Filósofa</w:t>
      </w:r>
    </w:p>
    <w:p w:rsidR="000C3ADF" w:rsidRPr="000C05CE" w:rsidRDefault="000C3ADF" w:rsidP="000C3ADF">
      <w:pPr>
        <w:spacing w:line="240" w:lineRule="auto"/>
        <w:jc w:val="center"/>
        <w:rPr>
          <w:rFonts w:cs="Times New Roman"/>
          <w:b/>
          <w:bCs/>
          <w:sz w:val="28"/>
          <w:szCs w:val="28"/>
        </w:rPr>
      </w:pPr>
    </w:p>
    <w:p w:rsidR="00A526D1" w:rsidRPr="000C05CE" w:rsidRDefault="00A526D1" w:rsidP="000C3ADF">
      <w:pPr>
        <w:spacing w:line="240" w:lineRule="auto"/>
        <w:jc w:val="center"/>
        <w:rPr>
          <w:rFonts w:cs="Times New Roman"/>
          <w:b/>
          <w:bCs/>
          <w:sz w:val="28"/>
          <w:szCs w:val="28"/>
        </w:rPr>
      </w:pPr>
      <w:r>
        <w:rPr>
          <w:rFonts w:cs="Times New Roman"/>
          <w:b/>
          <w:bCs/>
          <w:sz w:val="28"/>
          <w:szCs w:val="28"/>
        </w:rPr>
        <w:t>Asesor</w:t>
      </w:r>
    </w:p>
    <w:p w:rsidR="00A526D1" w:rsidRDefault="00A526D1" w:rsidP="000C3ADF">
      <w:pPr>
        <w:spacing w:line="240" w:lineRule="auto"/>
        <w:jc w:val="center"/>
        <w:rPr>
          <w:rFonts w:cs="Times New Roman"/>
          <w:b/>
          <w:bCs/>
          <w:sz w:val="28"/>
          <w:szCs w:val="28"/>
        </w:rPr>
      </w:pPr>
      <w:r>
        <w:rPr>
          <w:rFonts w:cs="Times New Roman"/>
          <w:b/>
          <w:bCs/>
          <w:sz w:val="28"/>
          <w:szCs w:val="28"/>
        </w:rPr>
        <w:t>Kenneth Moreno May</w:t>
      </w:r>
      <w:r w:rsidR="005964DF">
        <w:rPr>
          <w:rFonts w:cs="Times New Roman"/>
          <w:b/>
          <w:bCs/>
          <w:sz w:val="28"/>
          <w:szCs w:val="28"/>
        </w:rPr>
        <w:t>.</w:t>
      </w:r>
    </w:p>
    <w:p w:rsidR="00E95D92" w:rsidRPr="000C05CE" w:rsidRDefault="00E95D92" w:rsidP="00A526D1">
      <w:pPr>
        <w:jc w:val="center"/>
        <w:rPr>
          <w:rFonts w:cs="Times New Roman"/>
          <w:b/>
          <w:bCs/>
          <w:sz w:val="28"/>
          <w:szCs w:val="28"/>
        </w:rPr>
      </w:pPr>
    </w:p>
    <w:p w:rsidR="00A526D1" w:rsidRPr="000C05CE" w:rsidRDefault="00A526D1" w:rsidP="000C3ADF">
      <w:pPr>
        <w:spacing w:line="240" w:lineRule="auto"/>
        <w:jc w:val="center"/>
        <w:rPr>
          <w:rFonts w:cs="Times New Roman"/>
          <w:b/>
          <w:bCs/>
          <w:sz w:val="28"/>
          <w:szCs w:val="28"/>
        </w:rPr>
      </w:pPr>
      <w:r w:rsidRPr="000C05CE">
        <w:rPr>
          <w:rFonts w:cs="Times New Roman"/>
          <w:b/>
          <w:bCs/>
          <w:sz w:val="28"/>
          <w:szCs w:val="28"/>
        </w:rPr>
        <w:t>Universidad de Cartagena</w:t>
      </w:r>
    </w:p>
    <w:p w:rsidR="00A526D1" w:rsidRPr="000C05CE" w:rsidRDefault="00A526D1" w:rsidP="000C3ADF">
      <w:pPr>
        <w:spacing w:line="240" w:lineRule="auto"/>
        <w:jc w:val="center"/>
        <w:rPr>
          <w:rFonts w:cs="Times New Roman"/>
          <w:b/>
          <w:bCs/>
          <w:sz w:val="28"/>
          <w:szCs w:val="28"/>
        </w:rPr>
      </w:pPr>
      <w:r w:rsidRPr="000C05CE">
        <w:rPr>
          <w:rFonts w:cs="Times New Roman"/>
          <w:b/>
          <w:bCs/>
          <w:sz w:val="28"/>
          <w:szCs w:val="28"/>
        </w:rPr>
        <w:t>Facultad de Ciencias Humanas</w:t>
      </w:r>
    </w:p>
    <w:p w:rsidR="00A526D1" w:rsidRPr="000C05CE" w:rsidRDefault="00A526D1" w:rsidP="000C3ADF">
      <w:pPr>
        <w:spacing w:line="240" w:lineRule="auto"/>
        <w:jc w:val="center"/>
        <w:rPr>
          <w:rFonts w:cs="Times New Roman"/>
          <w:b/>
          <w:bCs/>
          <w:sz w:val="28"/>
          <w:szCs w:val="28"/>
        </w:rPr>
      </w:pPr>
      <w:r w:rsidRPr="000C05CE">
        <w:rPr>
          <w:rFonts w:cs="Times New Roman"/>
          <w:b/>
          <w:bCs/>
          <w:sz w:val="28"/>
          <w:szCs w:val="28"/>
        </w:rPr>
        <w:t xml:space="preserve">Programa de </w:t>
      </w:r>
      <w:r>
        <w:rPr>
          <w:rFonts w:cs="Times New Roman"/>
          <w:b/>
          <w:bCs/>
          <w:sz w:val="28"/>
          <w:szCs w:val="28"/>
        </w:rPr>
        <w:t>Filosofía</w:t>
      </w:r>
    </w:p>
    <w:p w:rsidR="00E95D92" w:rsidRDefault="00A526D1" w:rsidP="00E95D92">
      <w:pPr>
        <w:spacing w:line="276" w:lineRule="auto"/>
        <w:jc w:val="center"/>
        <w:rPr>
          <w:rFonts w:cs="Times New Roman"/>
          <w:b/>
          <w:bCs/>
          <w:sz w:val="28"/>
          <w:szCs w:val="28"/>
        </w:rPr>
      </w:pPr>
      <w:r w:rsidRPr="000C05CE">
        <w:rPr>
          <w:rFonts w:cs="Times New Roman"/>
          <w:b/>
          <w:bCs/>
          <w:sz w:val="28"/>
          <w:szCs w:val="28"/>
        </w:rPr>
        <w:t>Cartagena de Indias</w:t>
      </w:r>
    </w:p>
    <w:p w:rsidR="00A526D1" w:rsidRPr="000C05CE" w:rsidRDefault="00A526D1" w:rsidP="00E95D92">
      <w:pPr>
        <w:spacing w:line="276" w:lineRule="auto"/>
        <w:jc w:val="center"/>
        <w:rPr>
          <w:rFonts w:cs="Times New Roman"/>
          <w:b/>
          <w:bCs/>
          <w:sz w:val="28"/>
          <w:szCs w:val="28"/>
        </w:rPr>
      </w:pPr>
      <w:r>
        <w:rPr>
          <w:rFonts w:cs="Times New Roman"/>
          <w:b/>
          <w:bCs/>
          <w:sz w:val="28"/>
          <w:szCs w:val="28"/>
        </w:rPr>
        <w:t>201</w:t>
      </w:r>
      <w:r w:rsidR="001979F7">
        <w:rPr>
          <w:rFonts w:cs="Times New Roman"/>
          <w:b/>
          <w:bCs/>
          <w:sz w:val="28"/>
          <w:szCs w:val="28"/>
        </w:rPr>
        <w:t>9</w:t>
      </w:r>
    </w:p>
    <w:p w:rsidR="003D5798" w:rsidRDefault="003D5798" w:rsidP="003D5798">
      <w:pPr>
        <w:pStyle w:val="NormalWeb"/>
        <w:shd w:val="clear" w:color="auto" w:fill="FFFFFF"/>
        <w:spacing w:before="150" w:beforeAutospacing="0" w:after="0" w:afterAutospacing="0" w:line="360" w:lineRule="auto"/>
        <w:jc w:val="center"/>
        <w:rPr>
          <w:rFonts w:ascii="Lucida Calligraphy" w:hAnsi="Lucida Calligraphy"/>
          <w:color w:val="141823"/>
          <w:sz w:val="32"/>
          <w:szCs w:val="40"/>
        </w:rPr>
      </w:pPr>
    </w:p>
    <w:p w:rsidR="003D5798" w:rsidRDefault="003D5798" w:rsidP="003D5798">
      <w:pPr>
        <w:pStyle w:val="NormalWeb"/>
        <w:shd w:val="clear" w:color="auto" w:fill="FFFFFF"/>
        <w:spacing w:before="150" w:beforeAutospacing="0" w:after="0" w:afterAutospacing="0" w:line="360" w:lineRule="auto"/>
        <w:jc w:val="center"/>
        <w:rPr>
          <w:rFonts w:ascii="Lucida Calligraphy" w:hAnsi="Lucida Calligraphy"/>
          <w:color w:val="141823"/>
          <w:sz w:val="32"/>
          <w:szCs w:val="40"/>
        </w:rPr>
      </w:pPr>
    </w:p>
    <w:p w:rsidR="00D774EE" w:rsidRDefault="00D774EE" w:rsidP="003D5798">
      <w:pPr>
        <w:pStyle w:val="NormalWeb"/>
        <w:shd w:val="clear" w:color="auto" w:fill="FFFFFF"/>
        <w:spacing w:before="150" w:beforeAutospacing="0" w:after="0" w:afterAutospacing="0" w:line="360" w:lineRule="auto"/>
        <w:jc w:val="center"/>
        <w:rPr>
          <w:rFonts w:ascii="Lucida Calligraphy" w:hAnsi="Lucida Calligraphy"/>
          <w:color w:val="141823"/>
          <w:sz w:val="32"/>
          <w:szCs w:val="40"/>
        </w:rPr>
      </w:pPr>
    </w:p>
    <w:p w:rsidR="00D774EE" w:rsidRDefault="00D774EE" w:rsidP="003D5798">
      <w:pPr>
        <w:pStyle w:val="NormalWeb"/>
        <w:shd w:val="clear" w:color="auto" w:fill="FFFFFF"/>
        <w:spacing w:before="150" w:beforeAutospacing="0" w:after="0" w:afterAutospacing="0" w:line="360" w:lineRule="auto"/>
        <w:jc w:val="center"/>
        <w:rPr>
          <w:rFonts w:ascii="Lucida Calligraphy" w:hAnsi="Lucida Calligraphy"/>
          <w:color w:val="141823"/>
          <w:sz w:val="32"/>
          <w:szCs w:val="40"/>
        </w:rPr>
      </w:pPr>
    </w:p>
    <w:p w:rsidR="00D774EE" w:rsidRDefault="00D774EE" w:rsidP="003D5798">
      <w:pPr>
        <w:pStyle w:val="NormalWeb"/>
        <w:shd w:val="clear" w:color="auto" w:fill="FFFFFF"/>
        <w:spacing w:before="150" w:beforeAutospacing="0" w:after="0" w:afterAutospacing="0" w:line="360" w:lineRule="auto"/>
        <w:jc w:val="center"/>
        <w:rPr>
          <w:rFonts w:ascii="Lucida Calligraphy" w:hAnsi="Lucida Calligraphy"/>
          <w:color w:val="141823"/>
          <w:sz w:val="32"/>
          <w:szCs w:val="40"/>
        </w:rPr>
      </w:pPr>
    </w:p>
    <w:p w:rsidR="0088348A" w:rsidRDefault="0088348A" w:rsidP="000279AE">
      <w:pPr>
        <w:ind w:left="3402" w:firstLine="0"/>
        <w:rPr>
          <w:sz w:val="22"/>
        </w:rPr>
      </w:pPr>
    </w:p>
    <w:p w:rsidR="0088348A" w:rsidRDefault="0088348A" w:rsidP="000279AE">
      <w:pPr>
        <w:ind w:left="3402" w:firstLine="0"/>
        <w:rPr>
          <w:sz w:val="22"/>
        </w:rPr>
      </w:pPr>
    </w:p>
    <w:p w:rsidR="0088348A" w:rsidRDefault="0088348A" w:rsidP="000279AE">
      <w:pPr>
        <w:ind w:left="3402" w:firstLine="0"/>
        <w:rPr>
          <w:sz w:val="22"/>
        </w:rPr>
      </w:pPr>
    </w:p>
    <w:p w:rsidR="00A526D1" w:rsidRPr="000279AE" w:rsidRDefault="00A526D1" w:rsidP="000279AE">
      <w:pPr>
        <w:ind w:left="3402" w:firstLine="0"/>
        <w:rPr>
          <w:sz w:val="22"/>
          <w:szCs w:val="48"/>
        </w:rPr>
      </w:pPr>
      <w:r w:rsidRPr="000279AE">
        <w:rPr>
          <w:sz w:val="22"/>
        </w:rPr>
        <w:t>La verdad no pertenece al orden del poder y en cambio posee un parentesco originario con la libertad: otros tantos temas tradicionales en la filosofía, a los que una historia política de la verdad debería dar vuelta mostrando que la verdad no es libre p</w:t>
      </w:r>
      <w:r w:rsidR="00AF2F24">
        <w:rPr>
          <w:sz w:val="22"/>
        </w:rPr>
        <w:t>’0</w:t>
      </w:r>
      <w:r w:rsidRPr="000279AE">
        <w:rPr>
          <w:sz w:val="22"/>
        </w:rPr>
        <w:t>or naturaleza, ni siervo el error, sino que su producción está toda entera atravesada por relaciones de po</w:t>
      </w:r>
      <w:r w:rsidR="000279AE" w:rsidRPr="000279AE">
        <w:rPr>
          <w:sz w:val="22"/>
        </w:rPr>
        <w:t>der.</w:t>
      </w:r>
    </w:p>
    <w:p w:rsidR="00A526D1" w:rsidRPr="000279AE" w:rsidRDefault="000C3ADF" w:rsidP="0098140B">
      <w:pPr>
        <w:ind w:left="3402"/>
        <w:rPr>
          <w:sz w:val="22"/>
        </w:rPr>
      </w:pPr>
      <w:r w:rsidRPr="000279AE">
        <w:rPr>
          <w:sz w:val="22"/>
        </w:rPr>
        <w:t>Michel</w:t>
      </w:r>
      <w:r w:rsidR="00A526D1" w:rsidRPr="000279AE">
        <w:rPr>
          <w:sz w:val="22"/>
        </w:rPr>
        <w:t xml:space="preserve"> Foucault</w:t>
      </w:r>
    </w:p>
    <w:p w:rsidR="00A526D1" w:rsidRDefault="00A526D1" w:rsidP="00A526D1">
      <w:pPr>
        <w:pStyle w:val="NormalWeb"/>
        <w:shd w:val="clear" w:color="auto" w:fill="FFFFFF"/>
        <w:spacing w:before="150" w:beforeAutospacing="0" w:after="0" w:afterAutospacing="0" w:line="269" w:lineRule="atLeast"/>
        <w:rPr>
          <w:rFonts w:asciiTheme="minorHAnsi" w:eastAsiaTheme="minorHAnsi" w:hAnsiTheme="minorHAnsi" w:cstheme="minorBidi"/>
          <w:sz w:val="22"/>
          <w:szCs w:val="22"/>
          <w:lang w:eastAsia="en-US"/>
        </w:rPr>
      </w:pPr>
    </w:p>
    <w:p w:rsidR="00A526D1" w:rsidRDefault="00A526D1" w:rsidP="00A526D1">
      <w:pPr>
        <w:pStyle w:val="Default"/>
        <w:spacing w:line="360" w:lineRule="auto"/>
        <w:jc w:val="center"/>
        <w:rPr>
          <w:b/>
          <w:color w:val="000000" w:themeColor="text1"/>
          <w:sz w:val="28"/>
          <w:szCs w:val="28"/>
        </w:rPr>
      </w:pPr>
    </w:p>
    <w:p w:rsidR="00A526D1" w:rsidRDefault="00A526D1" w:rsidP="00A526D1">
      <w:pPr>
        <w:pStyle w:val="Default"/>
        <w:spacing w:line="360" w:lineRule="auto"/>
        <w:jc w:val="center"/>
        <w:rPr>
          <w:b/>
          <w:color w:val="000000" w:themeColor="text1"/>
          <w:sz w:val="28"/>
          <w:szCs w:val="28"/>
        </w:rPr>
      </w:pPr>
    </w:p>
    <w:p w:rsidR="00A526D1" w:rsidRDefault="00A526D1" w:rsidP="00A526D1">
      <w:pPr>
        <w:pStyle w:val="Default"/>
        <w:spacing w:line="360" w:lineRule="auto"/>
        <w:jc w:val="center"/>
        <w:rPr>
          <w:b/>
          <w:color w:val="000000" w:themeColor="text1"/>
          <w:sz w:val="28"/>
          <w:szCs w:val="28"/>
        </w:rPr>
      </w:pPr>
    </w:p>
    <w:p w:rsidR="002D3F6F" w:rsidRDefault="002D3F6F" w:rsidP="00A526D1">
      <w:pPr>
        <w:pStyle w:val="Default"/>
        <w:spacing w:line="360" w:lineRule="auto"/>
        <w:jc w:val="center"/>
        <w:rPr>
          <w:b/>
          <w:color w:val="000000" w:themeColor="text1"/>
          <w:sz w:val="28"/>
          <w:szCs w:val="28"/>
        </w:rPr>
      </w:pPr>
    </w:p>
    <w:p w:rsidR="00C10E12" w:rsidRDefault="00C10E12">
      <w:pPr>
        <w:spacing w:before="0" w:line="259" w:lineRule="auto"/>
        <w:jc w:val="left"/>
        <w:rPr>
          <w:rFonts w:cs="Times New Roman"/>
          <w:b/>
          <w:color w:val="000000" w:themeColor="text1"/>
          <w:sz w:val="28"/>
          <w:szCs w:val="28"/>
        </w:rPr>
      </w:pPr>
      <w:r>
        <w:rPr>
          <w:b/>
          <w:color w:val="000000" w:themeColor="text1"/>
          <w:sz w:val="28"/>
          <w:szCs w:val="28"/>
        </w:rPr>
        <w:br w:type="page"/>
      </w:r>
    </w:p>
    <w:p w:rsidR="00A526D1" w:rsidRPr="00C20B4E" w:rsidRDefault="00A526D1" w:rsidP="00A526D1">
      <w:pPr>
        <w:pStyle w:val="Default"/>
        <w:spacing w:line="360" w:lineRule="auto"/>
        <w:jc w:val="center"/>
        <w:rPr>
          <w:b/>
          <w:color w:val="000000" w:themeColor="text1"/>
          <w:sz w:val="28"/>
          <w:szCs w:val="28"/>
        </w:rPr>
      </w:pPr>
      <w:r w:rsidRPr="00C20B4E">
        <w:rPr>
          <w:b/>
          <w:color w:val="000000" w:themeColor="text1"/>
          <w:sz w:val="28"/>
          <w:szCs w:val="28"/>
        </w:rPr>
        <w:lastRenderedPageBreak/>
        <w:t>AGRADECIMIENTOS</w:t>
      </w:r>
    </w:p>
    <w:p w:rsidR="00A526D1" w:rsidRDefault="00A526D1" w:rsidP="00A526D1">
      <w:pPr>
        <w:pStyle w:val="Default"/>
        <w:spacing w:line="360" w:lineRule="auto"/>
        <w:jc w:val="both"/>
        <w:rPr>
          <w:color w:val="000000" w:themeColor="text1"/>
        </w:rPr>
      </w:pPr>
    </w:p>
    <w:p w:rsidR="00605B92" w:rsidRDefault="008C2EA5" w:rsidP="008C2EA5">
      <w:r w:rsidRPr="008C2EA5">
        <w:t>Agradecer primero que todo a Dios por permitirme llegar hasta aquí</w:t>
      </w:r>
      <w:r w:rsidR="007756AA">
        <w:t>, porque me ha dado la fuerza y la fortaleza para llegar hasta aquí, por hacerme la princesa de sus ojos y mostrarme el camino para llegar hasta este punto</w:t>
      </w:r>
      <w:r w:rsidRPr="008C2EA5">
        <w:t xml:space="preserve">. A mi madre, por estar ahí siempre, por todos y cada uno de los sacrificios, por ser Mamá y Papá, por estar a mi lado, por bridarme su mano, por alentarme siempre a salir adelante. La vida no me va a alcanzar para agradecerte todo lo hiciste y haces, harás por mí. Te amo de aquí al infinito, Elvira López.  </w:t>
      </w:r>
    </w:p>
    <w:p w:rsidR="008C2EA5" w:rsidRPr="008C2EA5" w:rsidRDefault="008C2EA5" w:rsidP="008C2EA5">
      <w:r w:rsidRPr="008C2EA5">
        <w:t>A mi tía, por su apoyo, por cada correndilla que ha hecho a lo largo del camino por mí, y a ti Randy por estar conmigo y acompañarme en este largo camino. A mi Abuela que sin importar donde estés, espero que desde el cielo sonrías y estés orgullosa de mí, pasan los años y aún te extraño. A mi Abuelo, que a pesar que no alcancé a conocerte, los recuerdos y experiencias que me han dado de ti, no me deja duda alguna de que seriamos un excelente equipo.</w:t>
      </w:r>
      <w:r w:rsidR="007756AA">
        <w:t xml:space="preserve">, </w:t>
      </w:r>
      <w:r w:rsidRPr="008C2EA5">
        <w:t>A Scobby, que a pesar que no leerá esto nunca te amo, mi amigo fiel.</w:t>
      </w:r>
    </w:p>
    <w:p w:rsidR="008C2EA5" w:rsidRPr="008C2EA5" w:rsidRDefault="008C2EA5" w:rsidP="008C2EA5">
      <w:r w:rsidRPr="008C2EA5">
        <w:t xml:space="preserve">Quiero agradecer a mi asesor, Kenneth Moreno May, docente de la Facultad de Ciencias Humanas de la Universidad de Cartagena y Director del Centro de Investigaciones de la Institución Universitaria Bellas Artes y Ciencias de Bolívar, por sus valiosos aportes y las diferentes críticas que le hizo al mismo, por sus regaños, ánimos a lo largo de este proyecto. Gracias por compartir tus conocimientos, sin dudarlo…eres uno de los mejores profesores que he podido tener. También fue parte fundamental su apoyo y </w:t>
      </w:r>
      <w:r w:rsidR="007756AA" w:rsidRPr="008C2EA5">
        <w:t>su infinita</w:t>
      </w:r>
      <w:r w:rsidRPr="008C2EA5">
        <w:t xml:space="preserve"> paciencia, este logro también es para ti. </w:t>
      </w:r>
    </w:p>
    <w:p w:rsidR="008C2EA5" w:rsidRPr="008C2EA5" w:rsidRDefault="008C2EA5" w:rsidP="008C2EA5">
      <w:r w:rsidRPr="008C2EA5">
        <w:t xml:space="preserve">A </w:t>
      </w:r>
      <w:r w:rsidR="007756AA">
        <w:t xml:space="preserve"> la Universidad de Cartagena por hacerme parte de ella, a </w:t>
      </w:r>
      <w:r w:rsidRPr="008C2EA5">
        <w:t xml:space="preserve">cada uno de los docentes con los que compartí aula a lo largo de esta hermosa carrera, gracias por compartir sus conocimientos con cada uno de mis compañeros y con mi persona, gracias por crear y reforzar ciertos conocimientos, por hacer de las aulas un espacio de debate que permita construir una mejor sociedad, creando jóvenes con capacidad crítica y que no permitan pasar ciertas cosas por alto, por </w:t>
      </w:r>
      <w:r w:rsidRPr="008C2EA5">
        <w:lastRenderedPageBreak/>
        <w:t>demostrar que aunque para algunos no sirva, en definitiva la filosofía si sirve, y mucho.</w:t>
      </w:r>
    </w:p>
    <w:p w:rsidR="008C2EA5" w:rsidRPr="008C2EA5" w:rsidRDefault="008C2EA5" w:rsidP="008C2EA5"/>
    <w:p w:rsidR="00605B92" w:rsidRDefault="008C2EA5" w:rsidP="008C2EA5">
      <w:r w:rsidRPr="008C2EA5">
        <w:t>A mis amigos, en especial a María Andrea Madera, herma gracias por estar ahí, por apoyarme y comprenderme, por ser y estar. Eres uno de los mejores regalos que me ha dado la v</w:t>
      </w:r>
      <w:r w:rsidR="007756AA">
        <w:t>ida, gracias por tu amistad de tantos años, por cada momento compartido y que sean muchos años más juntas</w:t>
      </w:r>
      <w:r w:rsidR="006B17B6">
        <w:t>, este logro también es tuyo, gracias por tanto</w:t>
      </w:r>
      <w:r w:rsidR="007756AA">
        <w:t xml:space="preserve">. A Juan Ángel Rivera, negro </w:t>
      </w:r>
      <w:r w:rsidRPr="008C2EA5">
        <w:t xml:space="preserve">gracias por tu amistad de tantos años, </w:t>
      </w:r>
      <w:r w:rsidR="006B17B6">
        <w:t xml:space="preserve">por tu cariño, tu compañía y muchos momentos más, pero infinitamente, gracias </w:t>
      </w:r>
      <w:r w:rsidRPr="008C2EA5">
        <w:t>por tu apoyo</w:t>
      </w:r>
      <w:r w:rsidR="007756AA">
        <w:t>, por escucharme y por estar ahí.</w:t>
      </w:r>
    </w:p>
    <w:p w:rsidR="008C2EA5" w:rsidRPr="008C2EA5" w:rsidRDefault="007756AA" w:rsidP="008C2EA5">
      <w:r>
        <w:t xml:space="preserve"> </w:t>
      </w:r>
      <w:r w:rsidR="008C2EA5" w:rsidRPr="008C2EA5">
        <w:t xml:space="preserve">A Freddy Reyes Puente, gracias por ser y estar. De ustedes </w:t>
      </w:r>
      <w:r w:rsidR="006B17B6">
        <w:t xml:space="preserve">definitivamente </w:t>
      </w:r>
      <w:r w:rsidR="008C2EA5" w:rsidRPr="008C2EA5">
        <w:t>he aprendido mucho… Con ustedes eternamente agradecido por cada uno de los instantes compartidos, que sean muchos años de amistad y</w:t>
      </w:r>
      <w:r w:rsidR="006B17B6">
        <w:t xml:space="preserve"> miles de momentos que recordar, por muchos más escalones juntos</w:t>
      </w:r>
    </w:p>
    <w:p w:rsidR="0061230A" w:rsidRDefault="008C2EA5" w:rsidP="008C2EA5">
      <w:r w:rsidRPr="008C2EA5">
        <w:t>Yani Susana Marín</w:t>
      </w:r>
      <w:r w:rsidR="007756AA" w:rsidRPr="008C2EA5">
        <w:t xml:space="preserve">, </w:t>
      </w:r>
      <w:r w:rsidR="006B17B6">
        <w:t>gracias por estar, por tu apoyo, tu cariño, tu respeto y tantos momentos juntos, por mas escalones y celebraciones juntas</w:t>
      </w:r>
      <w:proofErr w:type="gramStart"/>
      <w:r w:rsidR="00605B92">
        <w:t>,</w:t>
      </w:r>
      <w:r w:rsidR="006B17B6">
        <w:t>.</w:t>
      </w:r>
      <w:proofErr w:type="gramEnd"/>
      <w:r w:rsidR="006B17B6">
        <w:t xml:space="preserve"> </w:t>
      </w:r>
      <w:r w:rsidR="00605B92">
        <w:t xml:space="preserve">A </w:t>
      </w:r>
      <w:r w:rsidR="007756AA" w:rsidRPr="008C2EA5">
        <w:t>Laura</w:t>
      </w:r>
      <w:r w:rsidR="00605B92">
        <w:t xml:space="preserve"> Garay, la pompa más bonita de todas. U</w:t>
      </w:r>
      <w:r w:rsidRPr="008C2EA5">
        <w:t xml:space="preserve">stedes son uno de los mejores regalos que me ha podido dar la U de C, con ustedes he aprendido muchas cosas y he compartido infinidades de momentos, a mis hermanas católicas, mucho amor para ustedes.  </w:t>
      </w:r>
    </w:p>
    <w:p w:rsidR="006B17B6" w:rsidRDefault="008C2EA5" w:rsidP="008C2EA5">
      <w:r w:rsidRPr="008C2EA5">
        <w:t>A aquellos que no logré mencionar</w:t>
      </w:r>
      <w:r w:rsidR="006B17B6">
        <w:t>, pero que me han acompañado a lo largo de este camino, brindándome su apoyo, compañía, cariño, respeto, y demás momentos que estarán en mi memoria. También a aquellos que</w:t>
      </w:r>
      <w:r w:rsidRPr="008C2EA5">
        <w:t xml:space="preserve"> </w:t>
      </w:r>
      <w:r w:rsidR="006B17B6">
        <w:t>me han acompañado en</w:t>
      </w:r>
      <w:r w:rsidRPr="008C2EA5">
        <w:t xml:space="preserve"> estos extraordinarios cinco años de mi vida tuve la dicha de conocer, muchas gracias por ser parte de algo que empecé a soñar cuando decidí estudiar Filosofía, por cada risa y cada momento compartido con ustedes, hicieron más sencillo el paso por la Universidad. </w:t>
      </w:r>
      <w:r w:rsidR="006B17B6">
        <w:t>No menos importantes, a aquellos ángeles que a pesar de que hoy no están, tengo la certeza que donde quiera que estén, sonreirán porque fueron parte de este sueño.</w:t>
      </w:r>
    </w:p>
    <w:p w:rsidR="00C460DF" w:rsidRDefault="008C2EA5" w:rsidP="008C2EA5">
      <w:r w:rsidRPr="008C2EA5">
        <w:lastRenderedPageBreak/>
        <w:t xml:space="preserve">Porque aún lo aprendido es poco, espero que de aquí en adelante los múltiples caminos estén llenos de sorpresas, muchas Bendiciones y cosas buenas en mi vida como filosofa. Un paso más para seguir adelante, </w:t>
      </w:r>
      <w:r w:rsidR="007756AA" w:rsidRPr="008C2EA5">
        <w:t>el segundo</w:t>
      </w:r>
      <w:r w:rsidRPr="008C2EA5">
        <w:t xml:space="preserve"> </w:t>
      </w:r>
      <w:r w:rsidR="007756AA">
        <w:t xml:space="preserve">paso de los tantos que daré para poder llegar a la cima. </w:t>
      </w:r>
    </w:p>
    <w:p w:rsidR="00C460DF" w:rsidRDefault="00C460DF"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C35B2A" w:rsidRDefault="00C35B2A" w:rsidP="001979F7">
      <w:pPr>
        <w:pStyle w:val="Default"/>
        <w:spacing w:line="480" w:lineRule="auto"/>
        <w:jc w:val="both"/>
      </w:pPr>
    </w:p>
    <w:p w:rsidR="00FF1C4A" w:rsidRDefault="00FF1C4A" w:rsidP="001979F7">
      <w:pPr>
        <w:pStyle w:val="Default"/>
        <w:spacing w:line="480" w:lineRule="auto"/>
        <w:jc w:val="both"/>
      </w:pPr>
    </w:p>
    <w:p w:rsidR="00FF1C4A" w:rsidRDefault="00FF1C4A" w:rsidP="001979F7">
      <w:pPr>
        <w:pStyle w:val="Default"/>
        <w:spacing w:line="480" w:lineRule="auto"/>
        <w:jc w:val="both"/>
      </w:pPr>
    </w:p>
    <w:p w:rsidR="00FF1C4A" w:rsidRDefault="00FF1C4A" w:rsidP="001979F7">
      <w:pPr>
        <w:pStyle w:val="Default"/>
        <w:spacing w:line="480" w:lineRule="auto"/>
        <w:jc w:val="both"/>
      </w:pPr>
    </w:p>
    <w:p w:rsidR="00C35B2A" w:rsidRDefault="00C35B2A" w:rsidP="001979F7">
      <w:pPr>
        <w:pStyle w:val="Default"/>
        <w:spacing w:line="480" w:lineRule="auto"/>
        <w:jc w:val="both"/>
      </w:pPr>
    </w:p>
    <w:p w:rsidR="00424729" w:rsidRDefault="00424729" w:rsidP="001979F7">
      <w:pPr>
        <w:pStyle w:val="Default"/>
        <w:spacing w:line="480" w:lineRule="auto"/>
        <w:jc w:val="both"/>
      </w:pPr>
    </w:p>
    <w:p w:rsidR="00424729" w:rsidRDefault="00424729" w:rsidP="001979F7">
      <w:pPr>
        <w:pStyle w:val="Default"/>
        <w:spacing w:line="480" w:lineRule="auto"/>
        <w:jc w:val="both"/>
      </w:pPr>
    </w:p>
    <w:p w:rsidR="00424729" w:rsidRDefault="00424729" w:rsidP="001979F7">
      <w:pPr>
        <w:pStyle w:val="Default"/>
        <w:spacing w:line="480" w:lineRule="auto"/>
        <w:jc w:val="both"/>
      </w:pPr>
    </w:p>
    <w:p w:rsidR="00424729" w:rsidRDefault="00424729" w:rsidP="001979F7">
      <w:pPr>
        <w:pStyle w:val="Default"/>
        <w:spacing w:line="480" w:lineRule="auto"/>
        <w:jc w:val="both"/>
      </w:pPr>
    </w:p>
    <w:p w:rsidR="00424729" w:rsidRDefault="00424729"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605B92" w:rsidRDefault="00605B92" w:rsidP="001979F7">
      <w:pPr>
        <w:pStyle w:val="Default"/>
        <w:spacing w:line="480" w:lineRule="auto"/>
        <w:jc w:val="both"/>
      </w:pPr>
    </w:p>
    <w:p w:rsidR="00424729" w:rsidRDefault="00424729" w:rsidP="001979F7">
      <w:pPr>
        <w:pStyle w:val="Default"/>
        <w:spacing w:line="480" w:lineRule="auto"/>
        <w:jc w:val="both"/>
      </w:pPr>
    </w:p>
    <w:p w:rsidR="00424729" w:rsidRDefault="00424729" w:rsidP="001979F7">
      <w:pPr>
        <w:pStyle w:val="Default"/>
        <w:spacing w:line="480" w:lineRule="auto"/>
        <w:jc w:val="both"/>
      </w:pPr>
    </w:p>
    <w:p w:rsidR="00C35B2A" w:rsidRDefault="00C35B2A" w:rsidP="001979F7">
      <w:pPr>
        <w:pStyle w:val="Default"/>
        <w:spacing w:line="480" w:lineRule="auto"/>
        <w:jc w:val="both"/>
      </w:pPr>
    </w:p>
    <w:p w:rsidR="00C460DF" w:rsidRDefault="00C460DF" w:rsidP="001979F7">
      <w:pPr>
        <w:pStyle w:val="Default"/>
        <w:spacing w:line="480" w:lineRule="auto"/>
        <w:jc w:val="both"/>
      </w:pPr>
    </w:p>
    <w:sdt>
      <w:sdtPr>
        <w:rPr>
          <w:rFonts w:ascii="Times New Roman" w:eastAsiaTheme="minorHAnsi" w:hAnsi="Times New Roman" w:cstheme="minorBidi"/>
          <w:color w:val="auto"/>
          <w:sz w:val="24"/>
          <w:szCs w:val="22"/>
          <w:lang w:val="es-ES" w:eastAsia="en-US"/>
        </w:rPr>
        <w:id w:val="-1791736642"/>
        <w:docPartObj>
          <w:docPartGallery w:val="Table of Contents"/>
          <w:docPartUnique/>
        </w:docPartObj>
      </w:sdtPr>
      <w:sdtEndPr>
        <w:rPr>
          <w:rFonts w:ascii="Arial" w:hAnsi="Arial"/>
          <w:b/>
          <w:bCs/>
        </w:rPr>
      </w:sdtEndPr>
      <w:sdtContent>
        <w:p w:rsidR="00345DFA" w:rsidRDefault="00345DFA" w:rsidP="00013C27">
          <w:pPr>
            <w:pStyle w:val="TtulodeTDC"/>
            <w:jc w:val="center"/>
            <w:rPr>
              <w:rFonts w:ascii="Times New Roman" w:eastAsiaTheme="minorHAnsi" w:hAnsi="Times New Roman" w:cstheme="minorBidi"/>
              <w:color w:val="auto"/>
              <w:sz w:val="24"/>
              <w:szCs w:val="22"/>
              <w:lang w:val="es-ES" w:eastAsia="en-US"/>
            </w:rPr>
          </w:pPr>
        </w:p>
        <w:p w:rsidR="00013C27" w:rsidRDefault="00013C27" w:rsidP="00013C27">
          <w:pPr>
            <w:pStyle w:val="TtulodeTDC"/>
            <w:jc w:val="center"/>
            <w:rPr>
              <w:rStyle w:val="Ttulo2Car"/>
              <w:color w:val="auto"/>
            </w:rPr>
          </w:pPr>
          <w:bookmarkStart w:id="0" w:name="_Toc12898998"/>
          <w:r w:rsidRPr="00013C27">
            <w:rPr>
              <w:rStyle w:val="Ttulo2Car"/>
              <w:color w:val="auto"/>
            </w:rPr>
            <w:t>Contenido</w:t>
          </w:r>
          <w:bookmarkEnd w:id="0"/>
        </w:p>
        <w:p w:rsidR="006D0525" w:rsidRPr="006D0525" w:rsidRDefault="006D0525" w:rsidP="006D0525">
          <w:pPr>
            <w:tabs>
              <w:tab w:val="left" w:pos="142"/>
            </w:tabs>
            <w:ind w:left="284" w:hanging="284"/>
            <w:rPr>
              <w:lang w:eastAsia="es-CO"/>
            </w:rPr>
          </w:pPr>
          <w:r>
            <w:rPr>
              <w:lang w:eastAsia="es-CO"/>
            </w:rPr>
            <w:t xml:space="preserve">   </w:t>
          </w:r>
        </w:p>
        <w:p w:rsidR="00345DFA" w:rsidRPr="00345DFA" w:rsidRDefault="004967BC">
          <w:pPr>
            <w:pStyle w:val="TDC2"/>
            <w:tabs>
              <w:tab w:val="right" w:leader="dot" w:pos="8828"/>
            </w:tabs>
            <w:rPr>
              <w:rFonts w:asciiTheme="minorHAnsi" w:eastAsiaTheme="minorEastAsia" w:hAnsiTheme="minorHAnsi"/>
              <w:noProof/>
              <w:sz w:val="20"/>
              <w:lang w:val="es-ES" w:eastAsia="es-ES"/>
            </w:rPr>
          </w:pPr>
          <w:r w:rsidRPr="00345DFA">
            <w:rPr>
              <w:b/>
              <w:bCs/>
              <w:sz w:val="22"/>
              <w:lang w:val="es-ES"/>
            </w:rPr>
            <w:fldChar w:fldCharType="begin"/>
          </w:r>
          <w:r w:rsidR="00013C27" w:rsidRPr="00345DFA">
            <w:rPr>
              <w:b/>
              <w:bCs/>
              <w:sz w:val="22"/>
              <w:lang w:val="es-ES"/>
            </w:rPr>
            <w:instrText xml:space="preserve"> TOC \o "1-3" \h \z \u </w:instrText>
          </w:r>
          <w:r w:rsidRPr="00345DFA">
            <w:rPr>
              <w:b/>
              <w:bCs/>
              <w:sz w:val="22"/>
              <w:lang w:val="es-ES"/>
            </w:rPr>
            <w:fldChar w:fldCharType="separate"/>
          </w:r>
          <w:hyperlink w:anchor="_Toc12898999" w:history="1">
            <w:r w:rsidR="00345DFA" w:rsidRPr="00345DFA">
              <w:rPr>
                <w:rStyle w:val="Hipervnculo"/>
                <w:noProof/>
                <w:sz w:val="22"/>
              </w:rPr>
              <w:t>Resumen</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_Toc12898999 \h </w:instrText>
            </w:r>
            <w:r w:rsidRPr="00345DFA">
              <w:rPr>
                <w:noProof/>
                <w:webHidden/>
                <w:sz w:val="22"/>
              </w:rPr>
            </w:r>
            <w:r w:rsidRPr="00345DFA">
              <w:rPr>
                <w:noProof/>
                <w:webHidden/>
                <w:sz w:val="22"/>
              </w:rPr>
              <w:fldChar w:fldCharType="separate"/>
            </w:r>
            <w:r w:rsidR="003E7B13">
              <w:rPr>
                <w:noProof/>
                <w:webHidden/>
                <w:sz w:val="22"/>
              </w:rPr>
              <w:t>8</w:t>
            </w:r>
            <w:r w:rsidRPr="00345DFA">
              <w:rPr>
                <w:noProof/>
                <w:webHidden/>
                <w:sz w:val="22"/>
              </w:rPr>
              <w:fldChar w:fldCharType="end"/>
            </w:r>
          </w:hyperlink>
        </w:p>
        <w:p w:rsidR="00345DFA" w:rsidRPr="00345DFA" w:rsidRDefault="004967BC">
          <w:pPr>
            <w:pStyle w:val="TDC2"/>
            <w:tabs>
              <w:tab w:val="right" w:leader="dot" w:pos="8828"/>
            </w:tabs>
            <w:rPr>
              <w:rFonts w:asciiTheme="minorHAnsi" w:eastAsiaTheme="minorEastAsia" w:hAnsiTheme="minorHAnsi"/>
              <w:noProof/>
              <w:sz w:val="20"/>
              <w:lang w:val="es-ES" w:eastAsia="es-ES"/>
            </w:rPr>
          </w:pPr>
          <w:hyperlink w:anchor="_Toc12899000" w:history="1">
            <w:r w:rsidR="00345DFA" w:rsidRPr="00345DFA">
              <w:rPr>
                <w:rStyle w:val="Hipervnculo"/>
                <w:noProof/>
                <w:sz w:val="22"/>
              </w:rPr>
              <w:t>Introducción</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_Toc12899000 \h </w:instrText>
            </w:r>
            <w:r w:rsidRPr="00345DFA">
              <w:rPr>
                <w:noProof/>
                <w:webHidden/>
                <w:sz w:val="22"/>
              </w:rPr>
            </w:r>
            <w:r w:rsidRPr="00345DFA">
              <w:rPr>
                <w:noProof/>
                <w:webHidden/>
                <w:sz w:val="22"/>
              </w:rPr>
              <w:fldChar w:fldCharType="separate"/>
            </w:r>
            <w:r w:rsidR="003E7B13">
              <w:rPr>
                <w:noProof/>
                <w:webHidden/>
                <w:sz w:val="22"/>
              </w:rPr>
              <w:t>9</w:t>
            </w:r>
            <w:r w:rsidRPr="00345DFA">
              <w:rPr>
                <w:noProof/>
                <w:webHidden/>
                <w:sz w:val="22"/>
              </w:rPr>
              <w:fldChar w:fldCharType="end"/>
            </w:r>
          </w:hyperlink>
        </w:p>
        <w:p w:rsidR="00345DFA" w:rsidRPr="00345DFA" w:rsidRDefault="004967BC">
          <w:pPr>
            <w:pStyle w:val="TDC2"/>
            <w:tabs>
              <w:tab w:val="right" w:leader="dot" w:pos="8828"/>
            </w:tabs>
            <w:rPr>
              <w:rFonts w:asciiTheme="minorHAnsi" w:eastAsiaTheme="minorEastAsia" w:hAnsiTheme="minorHAnsi"/>
              <w:noProof/>
              <w:sz w:val="20"/>
              <w:lang w:val="es-ES" w:eastAsia="es-ES"/>
            </w:rPr>
          </w:pPr>
          <w:hyperlink w:anchor="_Toc12899001" w:history="1">
            <w:r w:rsidR="00345DFA" w:rsidRPr="00345DFA">
              <w:rPr>
                <w:rStyle w:val="Hipervnculo"/>
                <w:noProof/>
                <w:sz w:val="22"/>
              </w:rPr>
              <w:t>Genealogía del Estado moderno</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_Toc12899001 \h </w:instrText>
            </w:r>
            <w:r w:rsidRPr="00345DFA">
              <w:rPr>
                <w:noProof/>
                <w:webHidden/>
                <w:sz w:val="22"/>
              </w:rPr>
            </w:r>
            <w:r w:rsidRPr="00345DFA">
              <w:rPr>
                <w:noProof/>
                <w:webHidden/>
                <w:sz w:val="22"/>
              </w:rPr>
              <w:fldChar w:fldCharType="separate"/>
            </w:r>
            <w:r w:rsidR="003E7B13">
              <w:rPr>
                <w:noProof/>
                <w:webHidden/>
                <w:sz w:val="22"/>
              </w:rPr>
              <w:t>11</w:t>
            </w:r>
            <w:r w:rsidRPr="00345DFA">
              <w:rPr>
                <w:noProof/>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2" w:history="1">
            <w:r w:rsidR="00345DFA" w:rsidRPr="00345DFA">
              <w:rPr>
                <w:rStyle w:val="Hipervnculo"/>
                <w:sz w:val="22"/>
              </w:rPr>
              <w:t>1.1 El régimen soberano: Relación soberano- súbdito.</w:t>
            </w:r>
            <w:r w:rsidR="00345DFA" w:rsidRPr="00345DFA">
              <w:rPr>
                <w:webHidden/>
                <w:sz w:val="22"/>
              </w:rPr>
              <w:tab/>
            </w:r>
            <w:r w:rsidRPr="00345DFA">
              <w:rPr>
                <w:webHidden/>
                <w:sz w:val="22"/>
              </w:rPr>
              <w:fldChar w:fldCharType="begin"/>
            </w:r>
            <w:r w:rsidR="00345DFA" w:rsidRPr="00345DFA">
              <w:rPr>
                <w:webHidden/>
                <w:sz w:val="22"/>
              </w:rPr>
              <w:instrText xml:space="preserve"> PAGEREF _Toc12899002 \h </w:instrText>
            </w:r>
            <w:r w:rsidRPr="00345DFA">
              <w:rPr>
                <w:webHidden/>
                <w:sz w:val="22"/>
              </w:rPr>
            </w:r>
            <w:r w:rsidRPr="00345DFA">
              <w:rPr>
                <w:webHidden/>
                <w:sz w:val="22"/>
              </w:rPr>
              <w:fldChar w:fldCharType="separate"/>
            </w:r>
            <w:r w:rsidR="003E7B13">
              <w:rPr>
                <w:webHidden/>
                <w:sz w:val="22"/>
              </w:rPr>
              <w:t>11</w:t>
            </w:r>
            <w:r w:rsidRPr="00345DFA">
              <w:rPr>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3" w:history="1">
            <w:r w:rsidR="00345DFA" w:rsidRPr="00345DFA">
              <w:rPr>
                <w:rStyle w:val="Hipervnculo"/>
                <w:sz w:val="22"/>
              </w:rPr>
              <w:t>1.2 Sociedades disciplinarias: Un nuevo método de control sobre el cuerpo</w:t>
            </w:r>
            <w:r w:rsidR="00345DFA" w:rsidRPr="00345DFA">
              <w:rPr>
                <w:webHidden/>
                <w:sz w:val="22"/>
              </w:rPr>
              <w:tab/>
            </w:r>
            <w:r w:rsidRPr="00345DFA">
              <w:rPr>
                <w:webHidden/>
                <w:sz w:val="22"/>
              </w:rPr>
              <w:fldChar w:fldCharType="begin"/>
            </w:r>
            <w:r w:rsidR="00345DFA" w:rsidRPr="00345DFA">
              <w:rPr>
                <w:webHidden/>
                <w:sz w:val="22"/>
              </w:rPr>
              <w:instrText xml:space="preserve"> PAGEREF _Toc12899003 \h </w:instrText>
            </w:r>
            <w:r w:rsidRPr="00345DFA">
              <w:rPr>
                <w:webHidden/>
                <w:sz w:val="22"/>
              </w:rPr>
            </w:r>
            <w:r w:rsidRPr="00345DFA">
              <w:rPr>
                <w:webHidden/>
                <w:sz w:val="22"/>
              </w:rPr>
              <w:fldChar w:fldCharType="separate"/>
            </w:r>
            <w:r w:rsidR="003E7B13">
              <w:rPr>
                <w:webHidden/>
                <w:sz w:val="22"/>
              </w:rPr>
              <w:t>12</w:t>
            </w:r>
            <w:r w:rsidRPr="00345DFA">
              <w:rPr>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4" w:history="1">
            <w:r w:rsidR="00345DFA" w:rsidRPr="00345DFA">
              <w:rPr>
                <w:rStyle w:val="Hipervnculo"/>
                <w:sz w:val="22"/>
              </w:rPr>
              <w:t>1.3 Sociedades de control: Biopoder/Biopolítica y el Liberalismo</w:t>
            </w:r>
            <w:r w:rsidR="00345DFA" w:rsidRPr="00345DFA">
              <w:rPr>
                <w:webHidden/>
                <w:sz w:val="22"/>
              </w:rPr>
              <w:tab/>
            </w:r>
            <w:r w:rsidRPr="00345DFA">
              <w:rPr>
                <w:webHidden/>
                <w:sz w:val="22"/>
              </w:rPr>
              <w:fldChar w:fldCharType="begin"/>
            </w:r>
            <w:r w:rsidR="00345DFA" w:rsidRPr="00345DFA">
              <w:rPr>
                <w:webHidden/>
                <w:sz w:val="22"/>
              </w:rPr>
              <w:instrText xml:space="preserve"> PAGEREF _Toc12899004 \h </w:instrText>
            </w:r>
            <w:r w:rsidRPr="00345DFA">
              <w:rPr>
                <w:webHidden/>
                <w:sz w:val="22"/>
              </w:rPr>
            </w:r>
            <w:r w:rsidRPr="00345DFA">
              <w:rPr>
                <w:webHidden/>
                <w:sz w:val="22"/>
              </w:rPr>
              <w:fldChar w:fldCharType="separate"/>
            </w:r>
            <w:r w:rsidR="003E7B13">
              <w:rPr>
                <w:webHidden/>
                <w:sz w:val="22"/>
              </w:rPr>
              <w:t>13</w:t>
            </w:r>
            <w:r w:rsidRPr="00345DFA">
              <w:rPr>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5" w:history="1">
            <w:r w:rsidR="00345DFA" w:rsidRPr="00345DFA">
              <w:rPr>
                <w:rStyle w:val="Hipervnculo"/>
                <w:sz w:val="22"/>
              </w:rPr>
              <w:t>1.4 El liberalismo y la biopolítica</w:t>
            </w:r>
            <w:r w:rsidR="00345DFA" w:rsidRPr="00345DFA">
              <w:rPr>
                <w:webHidden/>
                <w:sz w:val="22"/>
              </w:rPr>
              <w:tab/>
            </w:r>
            <w:r w:rsidRPr="00345DFA">
              <w:rPr>
                <w:webHidden/>
                <w:sz w:val="22"/>
              </w:rPr>
              <w:fldChar w:fldCharType="begin"/>
            </w:r>
            <w:r w:rsidR="00345DFA" w:rsidRPr="00345DFA">
              <w:rPr>
                <w:webHidden/>
                <w:sz w:val="22"/>
              </w:rPr>
              <w:instrText xml:space="preserve"> PAGEREF _Toc12899005 \h </w:instrText>
            </w:r>
            <w:r w:rsidRPr="00345DFA">
              <w:rPr>
                <w:webHidden/>
                <w:sz w:val="22"/>
              </w:rPr>
            </w:r>
            <w:r w:rsidRPr="00345DFA">
              <w:rPr>
                <w:webHidden/>
                <w:sz w:val="22"/>
              </w:rPr>
              <w:fldChar w:fldCharType="separate"/>
            </w:r>
            <w:r w:rsidR="003E7B13">
              <w:rPr>
                <w:webHidden/>
                <w:sz w:val="22"/>
              </w:rPr>
              <w:t>15</w:t>
            </w:r>
            <w:r w:rsidRPr="00345DFA">
              <w:rPr>
                <w:webHidden/>
                <w:sz w:val="22"/>
              </w:rPr>
              <w:fldChar w:fldCharType="end"/>
            </w:r>
          </w:hyperlink>
        </w:p>
        <w:p w:rsidR="00345DFA" w:rsidRPr="00345DFA" w:rsidRDefault="004967BC">
          <w:pPr>
            <w:pStyle w:val="TDC2"/>
            <w:tabs>
              <w:tab w:val="right" w:leader="dot" w:pos="8828"/>
            </w:tabs>
            <w:rPr>
              <w:rFonts w:asciiTheme="minorHAnsi" w:eastAsiaTheme="minorEastAsia" w:hAnsiTheme="minorHAnsi"/>
              <w:noProof/>
              <w:sz w:val="20"/>
              <w:lang w:val="es-ES" w:eastAsia="es-ES"/>
            </w:rPr>
          </w:pPr>
          <w:hyperlink w:anchor="_Toc12899006" w:history="1">
            <w:r w:rsidR="00345DFA" w:rsidRPr="00345DFA">
              <w:rPr>
                <w:rStyle w:val="Hipervnculo"/>
                <w:noProof/>
                <w:sz w:val="22"/>
              </w:rPr>
              <w:t>El concepto de vida y muerte</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_Toc12899006 \h </w:instrText>
            </w:r>
            <w:r w:rsidRPr="00345DFA">
              <w:rPr>
                <w:noProof/>
                <w:webHidden/>
                <w:sz w:val="22"/>
              </w:rPr>
            </w:r>
            <w:r w:rsidRPr="00345DFA">
              <w:rPr>
                <w:noProof/>
                <w:webHidden/>
                <w:sz w:val="22"/>
              </w:rPr>
              <w:fldChar w:fldCharType="separate"/>
            </w:r>
            <w:r w:rsidR="003E7B13">
              <w:rPr>
                <w:noProof/>
                <w:webHidden/>
                <w:sz w:val="22"/>
              </w:rPr>
              <w:t>19</w:t>
            </w:r>
            <w:r w:rsidRPr="00345DFA">
              <w:rPr>
                <w:noProof/>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7" w:history="1">
            <w:r w:rsidR="00345DFA" w:rsidRPr="00345DFA">
              <w:rPr>
                <w:rStyle w:val="Hipervnculo"/>
                <w:sz w:val="22"/>
              </w:rPr>
              <w:t>2.1 La vida y la muerte en las distintas sociedades</w:t>
            </w:r>
            <w:r w:rsidR="00345DFA" w:rsidRPr="00345DFA">
              <w:rPr>
                <w:webHidden/>
                <w:sz w:val="22"/>
              </w:rPr>
              <w:tab/>
            </w:r>
            <w:r w:rsidRPr="00345DFA">
              <w:rPr>
                <w:webHidden/>
                <w:sz w:val="22"/>
              </w:rPr>
              <w:fldChar w:fldCharType="begin"/>
            </w:r>
            <w:r w:rsidR="00345DFA" w:rsidRPr="00345DFA">
              <w:rPr>
                <w:webHidden/>
                <w:sz w:val="22"/>
              </w:rPr>
              <w:instrText xml:space="preserve"> PAGEREF _Toc12899007 \h </w:instrText>
            </w:r>
            <w:r w:rsidRPr="00345DFA">
              <w:rPr>
                <w:webHidden/>
                <w:sz w:val="22"/>
              </w:rPr>
            </w:r>
            <w:r w:rsidRPr="00345DFA">
              <w:rPr>
                <w:webHidden/>
                <w:sz w:val="22"/>
              </w:rPr>
              <w:fldChar w:fldCharType="separate"/>
            </w:r>
            <w:r w:rsidR="003E7B13">
              <w:rPr>
                <w:webHidden/>
                <w:sz w:val="22"/>
              </w:rPr>
              <w:t>19</w:t>
            </w:r>
            <w:r w:rsidRPr="00345DFA">
              <w:rPr>
                <w:webHidden/>
                <w:sz w:val="22"/>
              </w:rPr>
              <w:fldChar w:fldCharType="end"/>
            </w:r>
          </w:hyperlink>
        </w:p>
        <w:p w:rsidR="00345DFA" w:rsidRPr="00345DFA" w:rsidRDefault="004967BC">
          <w:pPr>
            <w:pStyle w:val="TDC2"/>
            <w:tabs>
              <w:tab w:val="right" w:leader="dot" w:pos="8828"/>
            </w:tabs>
            <w:rPr>
              <w:rFonts w:asciiTheme="minorHAnsi" w:eastAsiaTheme="minorEastAsia" w:hAnsiTheme="minorHAnsi"/>
              <w:noProof/>
              <w:sz w:val="20"/>
              <w:lang w:val="es-ES" w:eastAsia="es-ES"/>
            </w:rPr>
          </w:pPr>
          <w:hyperlink w:anchor="_Toc12899008" w:history="1">
            <w:r w:rsidR="00345DFA" w:rsidRPr="00345DFA">
              <w:rPr>
                <w:rStyle w:val="Hipervnculo"/>
                <w:noProof/>
                <w:sz w:val="22"/>
              </w:rPr>
              <w:t>La noción de peligro</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_Toc12899008 \h </w:instrText>
            </w:r>
            <w:r w:rsidRPr="00345DFA">
              <w:rPr>
                <w:noProof/>
                <w:webHidden/>
                <w:sz w:val="22"/>
              </w:rPr>
            </w:r>
            <w:r w:rsidRPr="00345DFA">
              <w:rPr>
                <w:noProof/>
                <w:webHidden/>
                <w:sz w:val="22"/>
              </w:rPr>
              <w:fldChar w:fldCharType="separate"/>
            </w:r>
            <w:r w:rsidR="003E7B13">
              <w:rPr>
                <w:noProof/>
                <w:webHidden/>
                <w:sz w:val="22"/>
              </w:rPr>
              <w:t>24</w:t>
            </w:r>
            <w:r w:rsidRPr="00345DFA">
              <w:rPr>
                <w:noProof/>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09" w:history="1">
            <w:r w:rsidR="00345DFA" w:rsidRPr="00345DFA">
              <w:rPr>
                <w:rStyle w:val="Hipervnculo"/>
                <w:sz w:val="22"/>
              </w:rPr>
              <w:t>3.1 Liberalismo, libertad y seguridad</w:t>
            </w:r>
            <w:r w:rsidR="00345DFA" w:rsidRPr="00345DFA">
              <w:rPr>
                <w:webHidden/>
                <w:sz w:val="22"/>
              </w:rPr>
              <w:tab/>
            </w:r>
            <w:r w:rsidRPr="00345DFA">
              <w:rPr>
                <w:webHidden/>
                <w:sz w:val="22"/>
              </w:rPr>
              <w:fldChar w:fldCharType="begin"/>
            </w:r>
            <w:r w:rsidR="00345DFA" w:rsidRPr="00345DFA">
              <w:rPr>
                <w:webHidden/>
                <w:sz w:val="22"/>
              </w:rPr>
              <w:instrText xml:space="preserve"> PAGEREF _Toc12899009 \h </w:instrText>
            </w:r>
            <w:r w:rsidRPr="00345DFA">
              <w:rPr>
                <w:webHidden/>
                <w:sz w:val="22"/>
              </w:rPr>
            </w:r>
            <w:r w:rsidRPr="00345DFA">
              <w:rPr>
                <w:webHidden/>
                <w:sz w:val="22"/>
              </w:rPr>
              <w:fldChar w:fldCharType="separate"/>
            </w:r>
            <w:r w:rsidR="003E7B13">
              <w:rPr>
                <w:webHidden/>
                <w:sz w:val="22"/>
              </w:rPr>
              <w:t>24</w:t>
            </w:r>
            <w:r w:rsidRPr="00345DFA">
              <w:rPr>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10" w:history="1">
            <w:r w:rsidR="00345DFA" w:rsidRPr="00345DFA">
              <w:rPr>
                <w:rStyle w:val="Hipervnculo"/>
                <w:sz w:val="22"/>
              </w:rPr>
              <w:t>3.2 Naturalidad del acontecimiento. Aleatoriedad y estadística del peligro</w:t>
            </w:r>
            <w:r w:rsidR="00345DFA" w:rsidRPr="00345DFA">
              <w:rPr>
                <w:webHidden/>
                <w:sz w:val="22"/>
              </w:rPr>
              <w:tab/>
            </w:r>
            <w:r w:rsidRPr="00345DFA">
              <w:rPr>
                <w:webHidden/>
                <w:sz w:val="22"/>
              </w:rPr>
              <w:fldChar w:fldCharType="begin"/>
            </w:r>
            <w:r w:rsidR="00345DFA" w:rsidRPr="00345DFA">
              <w:rPr>
                <w:webHidden/>
                <w:sz w:val="22"/>
              </w:rPr>
              <w:instrText xml:space="preserve"> PAGEREF _Toc12899010 \h </w:instrText>
            </w:r>
            <w:r w:rsidRPr="00345DFA">
              <w:rPr>
                <w:webHidden/>
                <w:sz w:val="22"/>
              </w:rPr>
            </w:r>
            <w:r w:rsidRPr="00345DFA">
              <w:rPr>
                <w:webHidden/>
                <w:sz w:val="22"/>
              </w:rPr>
              <w:fldChar w:fldCharType="separate"/>
            </w:r>
            <w:r w:rsidR="003E7B13">
              <w:rPr>
                <w:webHidden/>
                <w:sz w:val="22"/>
              </w:rPr>
              <w:t>28</w:t>
            </w:r>
            <w:r w:rsidRPr="00345DFA">
              <w:rPr>
                <w:webHidden/>
                <w:sz w:val="22"/>
              </w:rPr>
              <w:fldChar w:fldCharType="end"/>
            </w:r>
          </w:hyperlink>
        </w:p>
        <w:p w:rsidR="00345DFA" w:rsidRPr="00345DFA" w:rsidRDefault="004967BC">
          <w:pPr>
            <w:pStyle w:val="TDC3"/>
            <w:rPr>
              <w:rFonts w:asciiTheme="minorHAnsi" w:eastAsiaTheme="minorEastAsia" w:hAnsiTheme="minorHAnsi" w:cstheme="minorBidi"/>
              <w:i w:val="0"/>
              <w:sz w:val="20"/>
              <w:lang w:val="es-ES" w:eastAsia="es-ES"/>
            </w:rPr>
          </w:pPr>
          <w:hyperlink w:anchor="_Toc12899011" w:history="1">
            <w:r w:rsidR="00345DFA" w:rsidRPr="00345DFA">
              <w:rPr>
                <w:rStyle w:val="Hipervnculo"/>
                <w:sz w:val="22"/>
              </w:rPr>
              <w:t>3.3. El caso de la locura y sexualidad como peligros</w:t>
            </w:r>
            <w:r w:rsidR="00345DFA" w:rsidRPr="00345DFA">
              <w:rPr>
                <w:webHidden/>
                <w:sz w:val="22"/>
              </w:rPr>
              <w:tab/>
            </w:r>
            <w:r w:rsidRPr="00345DFA">
              <w:rPr>
                <w:webHidden/>
                <w:sz w:val="22"/>
              </w:rPr>
              <w:fldChar w:fldCharType="begin"/>
            </w:r>
            <w:r w:rsidR="00345DFA" w:rsidRPr="00345DFA">
              <w:rPr>
                <w:webHidden/>
                <w:sz w:val="22"/>
              </w:rPr>
              <w:instrText xml:space="preserve"> PAGEREF _Toc12899011 \h </w:instrText>
            </w:r>
            <w:r w:rsidRPr="00345DFA">
              <w:rPr>
                <w:webHidden/>
                <w:sz w:val="22"/>
              </w:rPr>
            </w:r>
            <w:r w:rsidRPr="00345DFA">
              <w:rPr>
                <w:webHidden/>
                <w:sz w:val="22"/>
              </w:rPr>
              <w:fldChar w:fldCharType="separate"/>
            </w:r>
            <w:r w:rsidR="003E7B13">
              <w:rPr>
                <w:webHidden/>
                <w:sz w:val="22"/>
              </w:rPr>
              <w:t>31</w:t>
            </w:r>
            <w:r w:rsidRPr="00345DFA">
              <w:rPr>
                <w:webHidden/>
                <w:sz w:val="22"/>
              </w:rPr>
              <w:fldChar w:fldCharType="end"/>
            </w:r>
          </w:hyperlink>
        </w:p>
        <w:p w:rsidR="00345DFA" w:rsidRPr="00345DFA" w:rsidRDefault="004967BC">
          <w:pPr>
            <w:pStyle w:val="TDC2"/>
            <w:tabs>
              <w:tab w:val="right" w:leader="dot" w:pos="8828"/>
            </w:tabs>
            <w:rPr>
              <w:rFonts w:asciiTheme="minorHAnsi" w:eastAsiaTheme="minorEastAsia" w:hAnsiTheme="minorHAnsi"/>
              <w:noProof/>
              <w:sz w:val="20"/>
              <w:lang w:val="es-ES" w:eastAsia="es-ES"/>
            </w:rPr>
          </w:pPr>
          <w:hyperlink w:anchor="_Toc12899012" w:history="1">
            <w:r w:rsidR="00345DFA" w:rsidRPr="00345DFA">
              <w:rPr>
                <w:rStyle w:val="Hipervnculo"/>
                <w:noProof/>
                <w:sz w:val="22"/>
              </w:rPr>
              <w:t>Conclusión</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_Toc12899012 \h </w:instrText>
            </w:r>
            <w:r w:rsidRPr="00345DFA">
              <w:rPr>
                <w:noProof/>
                <w:webHidden/>
                <w:sz w:val="22"/>
              </w:rPr>
            </w:r>
            <w:r w:rsidRPr="00345DFA">
              <w:rPr>
                <w:noProof/>
                <w:webHidden/>
                <w:sz w:val="22"/>
              </w:rPr>
              <w:fldChar w:fldCharType="separate"/>
            </w:r>
            <w:r w:rsidR="003E7B13">
              <w:rPr>
                <w:noProof/>
                <w:webHidden/>
                <w:sz w:val="22"/>
              </w:rPr>
              <w:t>39</w:t>
            </w:r>
            <w:r w:rsidRPr="00345DFA">
              <w:rPr>
                <w:noProof/>
                <w:webHidden/>
                <w:sz w:val="22"/>
              </w:rPr>
              <w:fldChar w:fldCharType="end"/>
            </w:r>
          </w:hyperlink>
        </w:p>
        <w:p w:rsidR="00345DFA" w:rsidRPr="00345DFA" w:rsidRDefault="004967BC">
          <w:pPr>
            <w:pStyle w:val="TDC1"/>
            <w:tabs>
              <w:tab w:val="right" w:leader="dot" w:pos="8828"/>
            </w:tabs>
            <w:rPr>
              <w:rFonts w:asciiTheme="minorHAnsi" w:eastAsiaTheme="minorEastAsia" w:hAnsiTheme="minorHAnsi"/>
              <w:noProof/>
              <w:sz w:val="20"/>
              <w:lang w:val="es-ES" w:eastAsia="es-ES"/>
            </w:rPr>
          </w:pPr>
          <w:hyperlink w:anchor="_Toc12899013" w:history="1">
            <w:r w:rsidR="00345DFA" w:rsidRPr="00345DFA">
              <w:rPr>
                <w:rStyle w:val="Hipervnculo"/>
                <w:rFonts w:cs="Arial"/>
                <w:b/>
                <w:noProof/>
                <w:sz w:val="22"/>
              </w:rPr>
              <w:t>Bibliografía</w:t>
            </w:r>
            <w:r w:rsidR="00345DFA" w:rsidRPr="00345DFA">
              <w:rPr>
                <w:noProof/>
                <w:webHidden/>
                <w:sz w:val="22"/>
              </w:rPr>
              <w:tab/>
            </w:r>
            <w:r w:rsidRPr="00345DFA">
              <w:rPr>
                <w:noProof/>
                <w:webHidden/>
                <w:sz w:val="22"/>
              </w:rPr>
              <w:fldChar w:fldCharType="begin"/>
            </w:r>
            <w:r w:rsidR="00345DFA" w:rsidRPr="00345DFA">
              <w:rPr>
                <w:noProof/>
                <w:webHidden/>
                <w:sz w:val="22"/>
              </w:rPr>
              <w:instrText xml:space="preserve"> PAGEREF _Toc12899013 \h </w:instrText>
            </w:r>
            <w:r w:rsidRPr="00345DFA">
              <w:rPr>
                <w:noProof/>
                <w:webHidden/>
                <w:sz w:val="22"/>
              </w:rPr>
            </w:r>
            <w:r w:rsidRPr="00345DFA">
              <w:rPr>
                <w:noProof/>
                <w:webHidden/>
                <w:sz w:val="22"/>
              </w:rPr>
              <w:fldChar w:fldCharType="separate"/>
            </w:r>
            <w:r w:rsidR="003E7B13">
              <w:rPr>
                <w:noProof/>
                <w:webHidden/>
                <w:sz w:val="22"/>
              </w:rPr>
              <w:t>42</w:t>
            </w:r>
            <w:r w:rsidRPr="00345DFA">
              <w:rPr>
                <w:noProof/>
                <w:webHidden/>
                <w:sz w:val="22"/>
              </w:rPr>
              <w:fldChar w:fldCharType="end"/>
            </w:r>
          </w:hyperlink>
        </w:p>
        <w:p w:rsidR="00013C27" w:rsidRDefault="004967BC">
          <w:r w:rsidRPr="00345DFA">
            <w:rPr>
              <w:b/>
              <w:bCs/>
              <w:sz w:val="22"/>
              <w:lang w:val="es-ES"/>
            </w:rPr>
            <w:fldChar w:fldCharType="end"/>
          </w:r>
        </w:p>
      </w:sdtContent>
    </w:sdt>
    <w:p w:rsidR="0066010E" w:rsidRDefault="0066010E" w:rsidP="0066010E">
      <w:pPr>
        <w:spacing w:line="480" w:lineRule="auto"/>
        <w:rPr>
          <w:rFonts w:cs="Times New Roman"/>
          <w:b/>
          <w:color w:val="000000"/>
          <w:szCs w:val="24"/>
          <w:shd w:val="clear" w:color="auto" w:fill="FFFFFF"/>
        </w:rPr>
      </w:pPr>
    </w:p>
    <w:p w:rsidR="0066010E" w:rsidRPr="0066010E" w:rsidRDefault="0066010E" w:rsidP="0066010E">
      <w:pPr>
        <w:spacing w:line="480" w:lineRule="auto"/>
        <w:rPr>
          <w:rFonts w:cs="Times New Roman"/>
          <w:b/>
          <w:color w:val="000000"/>
          <w:szCs w:val="24"/>
          <w:shd w:val="clear" w:color="auto" w:fill="FFFFFF"/>
        </w:rPr>
        <w:sectPr w:rsidR="0066010E" w:rsidRPr="0066010E" w:rsidSect="00214457">
          <w:footerReference w:type="default" r:id="rId9"/>
          <w:headerReference w:type="first" r:id="rId10"/>
          <w:footerReference w:type="first" r:id="rId11"/>
          <w:pgSz w:w="12240" w:h="15840"/>
          <w:pgMar w:top="1418" w:right="1701" w:bottom="1418" w:left="1701" w:header="709" w:footer="709" w:gutter="0"/>
          <w:pgNumType w:start="1"/>
          <w:cols w:space="720"/>
          <w:titlePg/>
          <w:docGrid w:linePitch="299"/>
        </w:sectPr>
      </w:pPr>
    </w:p>
    <w:p w:rsidR="006D0525" w:rsidRDefault="006D0525">
      <w:pPr>
        <w:pStyle w:val="Ttulo2"/>
      </w:pPr>
      <w:bookmarkStart w:id="1" w:name="_Toc12898999"/>
      <w:r>
        <w:lastRenderedPageBreak/>
        <w:t>Resumen</w:t>
      </w:r>
      <w:bookmarkEnd w:id="1"/>
    </w:p>
    <w:p w:rsidR="006D0525" w:rsidRPr="00424729" w:rsidRDefault="006D0525" w:rsidP="006D0525">
      <w:pPr>
        <w:spacing w:after="0"/>
        <w:rPr>
          <w:rFonts w:eastAsia="Times New Roman" w:cs="Times New Roman"/>
          <w:szCs w:val="24"/>
          <w:lang w:eastAsia="es-CO"/>
        </w:rPr>
      </w:pPr>
      <w:r w:rsidRPr="00424729">
        <w:rPr>
          <w:rFonts w:eastAsia="Times New Roman" w:cs="Times New Roman"/>
          <w:szCs w:val="24"/>
          <w:lang w:eastAsia="es-CO"/>
        </w:rPr>
        <w:t xml:space="preserve">Este trabajo tiene como propósito mostrar cómo, con la aparición de los distintos sistemas o mecanismos de gobierno en la época moderna, especialmente después de finales del siglo XVIII, el concepto de peligro, y la idea de una </w:t>
      </w:r>
      <w:r w:rsidRPr="00424729">
        <w:rPr>
          <w:rFonts w:eastAsia="Times New Roman" w:cs="Times New Roman"/>
          <w:i/>
          <w:szCs w:val="24"/>
          <w:lang w:eastAsia="es-CO"/>
        </w:rPr>
        <w:t>cultura del peligro</w:t>
      </w:r>
      <w:r w:rsidRPr="00424729">
        <w:rPr>
          <w:rFonts w:eastAsia="Times New Roman" w:cs="Times New Roman"/>
          <w:szCs w:val="24"/>
          <w:lang w:eastAsia="es-CO"/>
        </w:rPr>
        <w:t xml:space="preserve">, fue cobrando cada vez más importancia en la forma como los gobiernos administraban la sociedad. </w:t>
      </w:r>
    </w:p>
    <w:p w:rsidR="006D0525" w:rsidRPr="00424729" w:rsidRDefault="006D0525" w:rsidP="006D0525">
      <w:pPr>
        <w:spacing w:after="0"/>
        <w:rPr>
          <w:rFonts w:eastAsia="Times New Roman" w:cs="Times New Roman"/>
          <w:szCs w:val="24"/>
          <w:lang w:eastAsia="es-CO"/>
        </w:rPr>
      </w:pPr>
      <w:r w:rsidRPr="00424729">
        <w:rPr>
          <w:rFonts w:eastAsia="Times New Roman" w:cs="Times New Roman"/>
          <w:szCs w:val="24"/>
          <w:lang w:eastAsia="es-CO"/>
        </w:rPr>
        <w:t xml:space="preserve">Es importante tener en cuenta que el autor reconoce o rastrea tres tipos o sistemas de gobierno: El régimen soberano, la sociedad disciplinaria y las sociedades de control. Así pues, con la investigación y estudio de estas sociedades o formas de ejercer el poder, pasando por las distintas limitaciones, transformaciones y razones gubernamentales de estas, lograremos mostrar las características que juega la noción de peligro en la última de estas sociedades, la de control, y su relación con lo que Foucault llama el liberalismo. </w:t>
      </w:r>
    </w:p>
    <w:p w:rsidR="006D0525" w:rsidRPr="00424729" w:rsidRDefault="006D0525" w:rsidP="006D0525">
      <w:pPr>
        <w:spacing w:after="0"/>
        <w:rPr>
          <w:rFonts w:eastAsia="Times New Roman" w:cs="Times New Roman"/>
          <w:szCs w:val="24"/>
          <w:lang w:eastAsia="es-CO"/>
        </w:rPr>
      </w:pPr>
      <w:r w:rsidRPr="00424729">
        <w:rPr>
          <w:rFonts w:eastAsia="Times New Roman" w:cs="Times New Roman"/>
          <w:szCs w:val="24"/>
          <w:lang w:eastAsia="es-CO"/>
        </w:rPr>
        <w:t xml:space="preserve">Con la formulación de lo que se puede llamar peligros sociales, también aparece la necesidad de brindarle seguridad tanto al individuo como a la especie. Entendiendo seguridad y la libertad como condiciones del liberalismo mismo. </w:t>
      </w:r>
    </w:p>
    <w:p w:rsidR="006D0525" w:rsidRDefault="006D0525" w:rsidP="006D0525">
      <w:pPr>
        <w:spacing w:after="0"/>
        <w:rPr>
          <w:rFonts w:eastAsia="Times New Roman" w:cs="Times New Roman"/>
          <w:b/>
          <w:szCs w:val="24"/>
          <w:lang w:eastAsia="es-CO"/>
        </w:rPr>
      </w:pPr>
    </w:p>
    <w:p w:rsidR="006D0525" w:rsidRPr="0066010E" w:rsidRDefault="006D0525" w:rsidP="006D0525">
      <w:pPr>
        <w:spacing w:after="0"/>
        <w:rPr>
          <w:rFonts w:cs="Times New Roman"/>
          <w:szCs w:val="24"/>
        </w:rPr>
        <w:sectPr w:rsidR="006D0525" w:rsidRPr="0066010E" w:rsidSect="0088348A">
          <w:footerReference w:type="first" r:id="rId12"/>
          <w:pgSz w:w="12240" w:h="15840"/>
          <w:pgMar w:top="1417" w:right="1701" w:bottom="1417" w:left="1701" w:header="708" w:footer="708" w:gutter="0"/>
          <w:pgNumType w:start="8"/>
          <w:cols w:space="720"/>
          <w:titlePg/>
          <w:docGrid w:linePitch="299"/>
        </w:sectPr>
      </w:pPr>
      <w:r w:rsidRPr="00FC115F">
        <w:rPr>
          <w:rFonts w:eastAsia="Times New Roman" w:cs="Times New Roman"/>
          <w:b/>
          <w:szCs w:val="24"/>
          <w:lang w:eastAsia="es-CO"/>
        </w:rPr>
        <w:t>Palabras Claves:</w:t>
      </w:r>
      <w:r w:rsidRPr="003D5798">
        <w:rPr>
          <w:rFonts w:eastAsia="Times New Roman" w:cs="Times New Roman"/>
          <w:szCs w:val="24"/>
          <w:lang w:eastAsia="es-CO"/>
        </w:rPr>
        <w:t xml:space="preserve"> Sociedades, control, disciplina, régimen, soberanía, liberalismo, instituciones, peligros, biopolítica, gobernabilidad y técnicas de gobierno</w:t>
      </w:r>
    </w:p>
    <w:p w:rsidR="006D0525" w:rsidRPr="006D0525" w:rsidRDefault="006D0525" w:rsidP="006D0525"/>
    <w:p w:rsidR="00891FC5" w:rsidRPr="00D372CF" w:rsidRDefault="00891FC5" w:rsidP="004342EF">
      <w:pPr>
        <w:pStyle w:val="Ttulo2"/>
        <w:rPr>
          <w:b w:val="0"/>
        </w:rPr>
      </w:pPr>
      <w:bookmarkStart w:id="2" w:name="_Toc12899000"/>
      <w:r w:rsidRPr="00D372CF">
        <w:t>Introducción</w:t>
      </w:r>
      <w:bookmarkEnd w:id="2"/>
    </w:p>
    <w:p w:rsidR="004C5E66" w:rsidRDefault="003D5798" w:rsidP="00275F97">
      <w:pPr>
        <w:rPr>
          <w:rFonts w:cs="Times New Roman"/>
          <w:szCs w:val="24"/>
        </w:rPr>
      </w:pPr>
      <w:r w:rsidRPr="00E155B3">
        <w:rPr>
          <w:rFonts w:cs="Times New Roman"/>
          <w:szCs w:val="24"/>
        </w:rPr>
        <w:t>L</w:t>
      </w:r>
      <w:r w:rsidR="009E32CF">
        <w:rPr>
          <w:rFonts w:cs="Times New Roman"/>
          <w:szCs w:val="24"/>
        </w:rPr>
        <w:t xml:space="preserve">o que </w:t>
      </w:r>
      <w:r w:rsidR="009157C7">
        <w:rPr>
          <w:rFonts w:cs="Times New Roman"/>
          <w:szCs w:val="24"/>
        </w:rPr>
        <w:t>Foucault</w:t>
      </w:r>
      <w:r w:rsidR="009E32CF">
        <w:rPr>
          <w:rFonts w:cs="Times New Roman"/>
          <w:szCs w:val="24"/>
        </w:rPr>
        <w:t xml:space="preserve"> llama </w:t>
      </w:r>
      <w:r w:rsidR="009E32CF" w:rsidRPr="00ED4836">
        <w:rPr>
          <w:rFonts w:cs="Times New Roman"/>
          <w:i/>
          <w:szCs w:val="24"/>
        </w:rPr>
        <w:t>sociedades de control</w:t>
      </w:r>
      <w:r w:rsidRPr="00E155B3">
        <w:rPr>
          <w:rFonts w:cs="Times New Roman"/>
          <w:szCs w:val="24"/>
        </w:rPr>
        <w:t xml:space="preserve">, </w:t>
      </w:r>
      <w:r w:rsidR="00ED4836">
        <w:rPr>
          <w:rFonts w:cs="Times New Roman"/>
          <w:szCs w:val="24"/>
        </w:rPr>
        <w:t>se inician más o menos a mitad del siglo XVIII</w:t>
      </w:r>
      <w:r w:rsidRPr="00E155B3">
        <w:rPr>
          <w:rFonts w:cs="Times New Roman"/>
          <w:szCs w:val="24"/>
        </w:rPr>
        <w:t>, y con ello las primeras apariciones o indicios de</w:t>
      </w:r>
      <w:r w:rsidR="00ED4836">
        <w:rPr>
          <w:rFonts w:cs="Times New Roman"/>
          <w:szCs w:val="24"/>
        </w:rPr>
        <w:t xml:space="preserve"> una n</w:t>
      </w:r>
      <w:r w:rsidR="00D372CF">
        <w:rPr>
          <w:rFonts w:cs="Times New Roman"/>
          <w:szCs w:val="24"/>
        </w:rPr>
        <w:t>ueva forma de gobernar que Foucau</w:t>
      </w:r>
      <w:r w:rsidR="00ED4836">
        <w:rPr>
          <w:rFonts w:cs="Times New Roman"/>
          <w:szCs w:val="24"/>
        </w:rPr>
        <w:t>l</w:t>
      </w:r>
      <w:r w:rsidR="00D372CF">
        <w:rPr>
          <w:rFonts w:cs="Times New Roman"/>
          <w:szCs w:val="24"/>
        </w:rPr>
        <w:t>t</w:t>
      </w:r>
      <w:r w:rsidR="00ED4836">
        <w:rPr>
          <w:rFonts w:cs="Times New Roman"/>
          <w:szCs w:val="24"/>
        </w:rPr>
        <w:t xml:space="preserve"> llama liberali</w:t>
      </w:r>
      <w:r w:rsidR="00B64D93">
        <w:rPr>
          <w:rFonts w:cs="Times New Roman"/>
          <w:szCs w:val="24"/>
        </w:rPr>
        <w:t>smo (Foucault, 2006</w:t>
      </w:r>
      <w:r w:rsidR="00ED4836">
        <w:rPr>
          <w:rFonts w:cs="Times New Roman"/>
          <w:szCs w:val="24"/>
        </w:rPr>
        <w:t>)</w:t>
      </w:r>
      <w:r w:rsidRPr="00E155B3">
        <w:rPr>
          <w:rFonts w:cs="Times New Roman"/>
          <w:szCs w:val="24"/>
        </w:rPr>
        <w:t xml:space="preserve">, que tenía como objetivo principal: </w:t>
      </w:r>
      <w:r w:rsidRPr="00DD544A">
        <w:rPr>
          <w:rFonts w:cs="Times New Roman"/>
          <w:szCs w:val="24"/>
        </w:rPr>
        <w:t>La protección de la especie de cualquier tipo de peligro interno, logrando así evitar no solo la degeneración del individuo, sino de la raza, la familia y la especie humana</w:t>
      </w:r>
      <w:r w:rsidR="004C5E66">
        <w:rPr>
          <w:rFonts w:cs="Times New Roman"/>
          <w:szCs w:val="24"/>
        </w:rPr>
        <w:t xml:space="preserve">, este se relaciona </w:t>
      </w:r>
      <w:r w:rsidR="006D0525">
        <w:rPr>
          <w:rFonts w:cs="Times New Roman"/>
          <w:szCs w:val="24"/>
        </w:rPr>
        <w:t>con la biopolítica</w:t>
      </w:r>
      <w:r w:rsidR="004C5E66">
        <w:rPr>
          <w:rFonts w:cs="Times New Roman"/>
          <w:szCs w:val="24"/>
        </w:rPr>
        <w:t xml:space="preserve"> por</w:t>
      </w:r>
      <w:r w:rsidR="006D0525">
        <w:rPr>
          <w:rFonts w:cs="Times New Roman"/>
          <w:szCs w:val="24"/>
        </w:rPr>
        <w:t xml:space="preserve"> ser</w:t>
      </w:r>
      <w:r w:rsidR="004C5E66">
        <w:rPr>
          <w:rFonts w:cs="Times New Roman"/>
          <w:szCs w:val="24"/>
        </w:rPr>
        <w:t xml:space="preserve">: </w:t>
      </w:r>
    </w:p>
    <w:p w:rsidR="00456ECC" w:rsidRDefault="00456ECC" w:rsidP="00275F97">
      <w:pPr>
        <w:rPr>
          <w:rFonts w:cs="Times New Roman"/>
          <w:szCs w:val="24"/>
        </w:rPr>
      </w:pPr>
      <w:r>
        <w:rPr>
          <w:rFonts w:cs="Times New Roman"/>
          <w:szCs w:val="24"/>
        </w:rPr>
        <w:t>En este trabajo pretendemos analizar la noción de peligro descrita por Foucault desde su trabajo genealógico sobre una nueva forma de poder que él encuentra en formación y desarrollo sobre todo a partir del siglo XVIII: el biopoder.</w:t>
      </w:r>
    </w:p>
    <w:p w:rsidR="00906628" w:rsidRDefault="00F42D54" w:rsidP="003D1BF8">
      <w:r>
        <w:rPr>
          <w:rFonts w:cs="Times New Roman"/>
          <w:szCs w:val="24"/>
        </w:rPr>
        <w:t>Partimos de una problemática que introduce Foucaul</w:t>
      </w:r>
      <w:r w:rsidR="005B0321">
        <w:rPr>
          <w:rFonts w:cs="Times New Roman"/>
          <w:szCs w:val="24"/>
        </w:rPr>
        <w:t>t en dos textos específicamente:</w:t>
      </w:r>
      <w:r>
        <w:rPr>
          <w:rFonts w:cs="Times New Roman"/>
          <w:szCs w:val="24"/>
        </w:rPr>
        <w:t xml:space="preserve"> “el na</w:t>
      </w:r>
      <w:r w:rsidR="005B0321">
        <w:rPr>
          <w:rFonts w:cs="Times New Roman"/>
          <w:szCs w:val="24"/>
        </w:rPr>
        <w:t xml:space="preserve">cimiento de la biopolítica” </w:t>
      </w:r>
      <w:sdt>
        <w:sdtPr>
          <w:rPr>
            <w:rFonts w:cs="Times New Roman"/>
            <w:szCs w:val="24"/>
          </w:rPr>
          <w:id w:val="1050798828"/>
          <w:citation/>
        </w:sdtPr>
        <w:sdtContent>
          <w:r w:rsidR="004967BC">
            <w:rPr>
              <w:rFonts w:cs="Times New Roman"/>
              <w:szCs w:val="24"/>
            </w:rPr>
            <w:fldChar w:fldCharType="begin"/>
          </w:r>
          <w:r w:rsidR="0093039B">
            <w:rPr>
              <w:rFonts w:cs="Times New Roman"/>
              <w:szCs w:val="24"/>
            </w:rPr>
            <w:instrText xml:space="preserve">CITATION Mic07 \t  \l 9226 </w:instrText>
          </w:r>
          <w:r w:rsidR="004967BC">
            <w:rPr>
              <w:rFonts w:cs="Times New Roman"/>
              <w:szCs w:val="24"/>
            </w:rPr>
            <w:fldChar w:fldCharType="separate"/>
          </w:r>
          <w:r w:rsidR="0093039B" w:rsidRPr="0093039B">
            <w:rPr>
              <w:rFonts w:cs="Times New Roman"/>
              <w:noProof/>
              <w:szCs w:val="24"/>
            </w:rPr>
            <w:t>(Foucault, 2007)</w:t>
          </w:r>
          <w:r w:rsidR="004967BC">
            <w:rPr>
              <w:rFonts w:cs="Times New Roman"/>
              <w:szCs w:val="24"/>
            </w:rPr>
            <w:fldChar w:fldCharType="end"/>
          </w:r>
        </w:sdtContent>
      </w:sdt>
      <w:r w:rsidR="0093039B">
        <w:rPr>
          <w:rFonts w:cs="Times New Roman"/>
          <w:szCs w:val="24"/>
        </w:rPr>
        <w:t xml:space="preserve"> </w:t>
      </w:r>
      <w:r>
        <w:rPr>
          <w:rFonts w:cs="Times New Roman"/>
          <w:szCs w:val="24"/>
        </w:rPr>
        <w:t>y “seguridad, territorio y poblaci</w:t>
      </w:r>
      <w:r w:rsidR="005B0321">
        <w:rPr>
          <w:rFonts w:cs="Times New Roman"/>
          <w:szCs w:val="24"/>
        </w:rPr>
        <w:t xml:space="preserve">ón” </w:t>
      </w:r>
      <w:sdt>
        <w:sdtPr>
          <w:rPr>
            <w:rFonts w:cs="Times New Roman"/>
            <w:szCs w:val="24"/>
          </w:rPr>
          <w:id w:val="-373002447"/>
          <w:citation/>
        </w:sdtPr>
        <w:sdtContent>
          <w:r w:rsidR="004967BC">
            <w:rPr>
              <w:rFonts w:cs="Times New Roman"/>
              <w:szCs w:val="24"/>
            </w:rPr>
            <w:fldChar w:fldCharType="begin"/>
          </w:r>
          <w:r w:rsidR="0093039B">
            <w:rPr>
              <w:rFonts w:cs="Times New Roman"/>
              <w:szCs w:val="24"/>
            </w:rPr>
            <w:instrText xml:space="preserve">CITATION Mic06 \t  \l 9226 </w:instrText>
          </w:r>
          <w:r w:rsidR="004967BC">
            <w:rPr>
              <w:rFonts w:cs="Times New Roman"/>
              <w:szCs w:val="24"/>
            </w:rPr>
            <w:fldChar w:fldCharType="separate"/>
          </w:r>
          <w:r w:rsidR="0093039B" w:rsidRPr="0093039B">
            <w:rPr>
              <w:rFonts w:cs="Times New Roman"/>
              <w:noProof/>
              <w:szCs w:val="24"/>
            </w:rPr>
            <w:t>(Foucault, 2006)</w:t>
          </w:r>
          <w:r w:rsidR="004967BC">
            <w:rPr>
              <w:rFonts w:cs="Times New Roman"/>
              <w:szCs w:val="24"/>
            </w:rPr>
            <w:fldChar w:fldCharType="end"/>
          </w:r>
        </w:sdtContent>
      </w:sdt>
      <w:r w:rsidR="0093039B">
        <w:rPr>
          <w:rFonts w:cs="Times New Roman"/>
          <w:szCs w:val="24"/>
        </w:rPr>
        <w:t xml:space="preserve">. </w:t>
      </w:r>
      <w:r w:rsidR="003D1BF8">
        <w:rPr>
          <w:rFonts w:cs="Times New Roman"/>
          <w:szCs w:val="24"/>
        </w:rPr>
        <w:t>En estos texto</w:t>
      </w:r>
      <w:r w:rsidR="00DA1AF4">
        <w:rPr>
          <w:rFonts w:cs="Times New Roman"/>
          <w:szCs w:val="24"/>
        </w:rPr>
        <w:t>s</w:t>
      </w:r>
      <w:r w:rsidR="003D1BF8">
        <w:rPr>
          <w:rFonts w:cs="Times New Roman"/>
          <w:szCs w:val="24"/>
        </w:rPr>
        <w:t xml:space="preserve"> el tema es la formación de ciertas formas de racionalidad política a nivel de gobierno, es decir, la manera como los Estados entendieron la manera correcta de gobernar, sobre todo desde la segunda mitad del siglo XVIII en adelante. </w:t>
      </w:r>
      <w:r w:rsidR="00906628">
        <w:rPr>
          <w:rFonts w:cs="Times New Roman"/>
          <w:szCs w:val="24"/>
        </w:rPr>
        <w:t xml:space="preserve">En estos textos se trata del estudio de </w:t>
      </w:r>
      <w:r w:rsidR="00906628" w:rsidRPr="00C93C09">
        <w:rPr>
          <w:i/>
        </w:rPr>
        <w:t>“la racionalización de la práctica gubernamental en el gobierno de la soberanía política</w:t>
      </w:r>
      <w:r w:rsidR="00906628" w:rsidRPr="00E155B3">
        <w:t>”.</w:t>
      </w:r>
      <w:sdt>
        <w:sdtPr>
          <w:id w:val="3780079"/>
          <w:citation/>
        </w:sdtPr>
        <w:sdtContent>
          <w:r w:rsidR="004967BC">
            <w:fldChar w:fldCharType="begin"/>
          </w:r>
          <w:r w:rsidR="0093039B">
            <w:instrText xml:space="preserve">CITATION Mic07 \p 16 \t  \l 9226 </w:instrText>
          </w:r>
          <w:r w:rsidR="004967BC">
            <w:fldChar w:fldCharType="separate"/>
          </w:r>
          <w:r w:rsidR="0093039B">
            <w:rPr>
              <w:noProof/>
            </w:rPr>
            <w:t xml:space="preserve"> (Foucault, 2007, pág. 16)</w:t>
          </w:r>
          <w:r w:rsidR="004967BC">
            <w:fldChar w:fldCharType="end"/>
          </w:r>
        </w:sdtContent>
      </w:sdt>
      <w:r w:rsidR="00906628" w:rsidRPr="00E155B3">
        <w:t xml:space="preserve"> </w:t>
      </w:r>
      <w:r w:rsidR="00906628">
        <w:t xml:space="preserve">. </w:t>
      </w:r>
    </w:p>
    <w:p w:rsidR="00906628" w:rsidRDefault="003D1BF8" w:rsidP="003D1BF8">
      <w:pPr>
        <w:rPr>
          <w:rFonts w:cs="Times New Roman"/>
          <w:szCs w:val="24"/>
        </w:rPr>
      </w:pPr>
      <w:r>
        <w:rPr>
          <w:rFonts w:cs="Times New Roman"/>
          <w:szCs w:val="24"/>
        </w:rPr>
        <w:t xml:space="preserve">Las prácticas de gobierno, según Foucault, fueron modos de acción dirigidas a formar y dirigir las conductas de otros sujetos (los ciudadanos). Sin embargo, estas dinámicas de poder </w:t>
      </w:r>
      <w:r w:rsidR="005B0321">
        <w:rPr>
          <w:rFonts w:cs="Times New Roman"/>
          <w:szCs w:val="24"/>
        </w:rPr>
        <w:t>trascienden el</w:t>
      </w:r>
      <w:r>
        <w:rPr>
          <w:rFonts w:cs="Times New Roman"/>
          <w:szCs w:val="24"/>
        </w:rPr>
        <w:t xml:space="preserve"> poder administrativo de un gobierno y se insertan en otras instituciones como la familia, las escuelas, los hospitales, las cárceles</w:t>
      </w:r>
      <w:r w:rsidR="005B0321">
        <w:rPr>
          <w:rFonts w:cs="Times New Roman"/>
          <w:szCs w:val="24"/>
        </w:rPr>
        <w:t>, entre otros</w:t>
      </w:r>
      <w:r>
        <w:rPr>
          <w:rFonts w:cs="Times New Roman"/>
          <w:szCs w:val="24"/>
        </w:rPr>
        <w:t xml:space="preserve">. </w:t>
      </w:r>
      <w:r w:rsidR="005B0321">
        <w:rPr>
          <w:rFonts w:cs="Times New Roman"/>
          <w:szCs w:val="24"/>
        </w:rPr>
        <w:t>En esa medida, se trata de</w:t>
      </w:r>
      <w:r>
        <w:rPr>
          <w:rFonts w:cs="Times New Roman"/>
          <w:szCs w:val="24"/>
        </w:rPr>
        <w:t xml:space="preserve"> como nuestra conducta y la de otros fueron moldeadas por ciertos dispositivos de poder. Y dentro de estos dispositivos de poder que fueron desarrollándose desde la segunda mitad del siglo XVIII y durante todo el XIX la noción de peligro fue crucial</w:t>
      </w:r>
      <w:r w:rsidR="00EF1671">
        <w:rPr>
          <w:rFonts w:cs="Times New Roman"/>
          <w:szCs w:val="24"/>
        </w:rPr>
        <w:t xml:space="preserve"> como un eje articulador de la conducta humana.</w:t>
      </w:r>
    </w:p>
    <w:p w:rsidR="00532606" w:rsidRPr="00582160" w:rsidRDefault="00906628" w:rsidP="003D1BF8">
      <w:pPr>
        <w:rPr>
          <w:rFonts w:eastAsia="Times New Roman" w:cs="Arial"/>
          <w:lang w:val="en-US" w:eastAsia="es-CO"/>
        </w:rPr>
      </w:pPr>
      <w:r>
        <w:rPr>
          <w:rFonts w:cs="Times New Roman"/>
          <w:szCs w:val="24"/>
        </w:rPr>
        <w:lastRenderedPageBreak/>
        <w:t>Con el propósito de realizar este estudio primero hablaremos de lo que podríamos llamar, según Foucault, la genealogía del Estado moderno, luego nos concentraremos de manera breve</w:t>
      </w:r>
      <w:r w:rsidR="005B0321">
        <w:rPr>
          <w:rFonts w:cs="Times New Roman"/>
          <w:szCs w:val="24"/>
        </w:rPr>
        <w:t xml:space="preserve"> pero concisa, </w:t>
      </w:r>
      <w:r>
        <w:rPr>
          <w:rFonts w:cs="Times New Roman"/>
          <w:szCs w:val="24"/>
        </w:rPr>
        <w:t>en la relación del poder político con los conceptos de vida y muerte par</w:t>
      </w:r>
      <w:r w:rsidR="005B0321">
        <w:rPr>
          <w:rFonts w:cs="Times New Roman"/>
          <w:szCs w:val="24"/>
        </w:rPr>
        <w:t>a después entrar de lleno en la</w:t>
      </w:r>
      <w:r>
        <w:rPr>
          <w:rFonts w:cs="Times New Roman"/>
          <w:szCs w:val="24"/>
        </w:rPr>
        <w:t xml:space="preserve"> última parte</w:t>
      </w:r>
      <w:r w:rsidR="005B0321">
        <w:rPr>
          <w:rFonts w:cs="Times New Roman"/>
          <w:szCs w:val="24"/>
        </w:rPr>
        <w:t xml:space="preserve"> del presente</w:t>
      </w:r>
      <w:r>
        <w:rPr>
          <w:rFonts w:cs="Times New Roman"/>
          <w:szCs w:val="24"/>
        </w:rPr>
        <w:t xml:space="preserve"> con la descripción de la noción de peligro desde el liberalismo biopolítico desc</w:t>
      </w:r>
      <w:r w:rsidR="005B0321">
        <w:rPr>
          <w:rFonts w:cs="Times New Roman"/>
          <w:szCs w:val="24"/>
        </w:rPr>
        <w:t>rito por Foucau</w:t>
      </w:r>
      <w:r w:rsidR="0093039B">
        <w:rPr>
          <w:rFonts w:cs="Times New Roman"/>
          <w:szCs w:val="24"/>
        </w:rPr>
        <w:t>l</w:t>
      </w:r>
      <w:r w:rsidR="005B0321">
        <w:rPr>
          <w:rFonts w:cs="Times New Roman"/>
          <w:szCs w:val="24"/>
        </w:rPr>
        <w:t>t</w:t>
      </w:r>
      <w:r>
        <w:rPr>
          <w:rFonts w:cs="Times New Roman"/>
          <w:szCs w:val="24"/>
        </w:rPr>
        <w:t xml:space="preserve"> en el siglo XVIII y XIX.</w:t>
      </w:r>
      <w:r w:rsidR="00EF1671">
        <w:rPr>
          <w:rFonts w:cs="Times New Roman"/>
          <w:szCs w:val="24"/>
        </w:rPr>
        <w:t xml:space="preserve"> </w:t>
      </w:r>
      <w:r w:rsidR="003D1BF8">
        <w:rPr>
          <w:rFonts w:cs="Times New Roman"/>
          <w:szCs w:val="24"/>
        </w:rPr>
        <w:t xml:space="preserve"> </w:t>
      </w:r>
    </w:p>
    <w:p w:rsidR="003D5798" w:rsidRPr="00E155B3" w:rsidRDefault="003D5798" w:rsidP="00EF1671">
      <w:r w:rsidRPr="00E155B3">
        <w:t xml:space="preserve"> </w:t>
      </w:r>
    </w:p>
    <w:p w:rsidR="00456ECC" w:rsidRDefault="00456ECC">
      <w:pPr>
        <w:spacing w:before="0" w:after="160" w:line="259" w:lineRule="auto"/>
        <w:ind w:firstLine="0"/>
        <w:jc w:val="left"/>
        <w:rPr>
          <w:rFonts w:cstheme="majorBidi"/>
          <w:b/>
          <w:sz w:val="36"/>
          <w:szCs w:val="26"/>
        </w:rPr>
      </w:pPr>
      <w:r>
        <w:br w:type="page"/>
      </w:r>
    </w:p>
    <w:p w:rsidR="003D5798" w:rsidRPr="00E155B3" w:rsidRDefault="003D5798" w:rsidP="00013C27">
      <w:pPr>
        <w:pStyle w:val="Ttulo2"/>
        <w:rPr>
          <w:rFonts w:eastAsiaTheme="minorHAnsi"/>
        </w:rPr>
      </w:pPr>
      <w:bookmarkStart w:id="3" w:name="_Toc12899001"/>
      <w:r w:rsidRPr="00E155B3">
        <w:rPr>
          <w:rFonts w:eastAsiaTheme="minorHAnsi"/>
        </w:rPr>
        <w:lastRenderedPageBreak/>
        <w:t>Genealogía del Estado moderno</w:t>
      </w:r>
      <w:bookmarkEnd w:id="3"/>
    </w:p>
    <w:p w:rsidR="003103DA" w:rsidRPr="00E155B3" w:rsidRDefault="003103DA" w:rsidP="003103DA">
      <w:pPr>
        <w:spacing w:after="0"/>
        <w:rPr>
          <w:rFonts w:cs="Times New Roman"/>
          <w:szCs w:val="24"/>
        </w:rPr>
      </w:pPr>
      <w:r w:rsidRPr="00906628">
        <w:rPr>
          <w:rFonts w:cs="Times New Roman"/>
          <w:szCs w:val="24"/>
        </w:rPr>
        <w:t>Foucault con el estudio de los diferentes dispositivos de poder buscaba most</w:t>
      </w:r>
      <w:r w:rsidR="00EC100D" w:rsidRPr="00906628">
        <w:rPr>
          <w:rFonts w:cs="Times New Roman"/>
          <w:szCs w:val="24"/>
        </w:rPr>
        <w:t>rar o presentar la forma como</w:t>
      </w:r>
      <w:r w:rsidRPr="00906628">
        <w:rPr>
          <w:rFonts w:cs="Times New Roman"/>
          <w:szCs w:val="24"/>
        </w:rPr>
        <w:t xml:space="preserve"> cada uno de estos conducen al surgimiento del Estado moderno y </w:t>
      </w:r>
      <w:r w:rsidR="00C74E41" w:rsidRPr="00906628">
        <w:rPr>
          <w:rFonts w:cs="Times New Roman"/>
          <w:szCs w:val="24"/>
        </w:rPr>
        <w:t>a</w:t>
      </w:r>
      <w:r w:rsidR="00906628" w:rsidRPr="00906628">
        <w:rPr>
          <w:rFonts w:cs="Times New Roman"/>
          <w:szCs w:val="24"/>
        </w:rPr>
        <w:t xml:space="preserve"> </w:t>
      </w:r>
      <w:r w:rsidRPr="00906628">
        <w:rPr>
          <w:rFonts w:cs="Times New Roman"/>
          <w:szCs w:val="24"/>
        </w:rPr>
        <w:t>su vez, como cada uno transforma las distintas políticas en el ejercicio de gobierno.</w:t>
      </w:r>
      <w:r w:rsidRPr="00E155B3">
        <w:rPr>
          <w:rFonts w:cs="Times New Roman"/>
          <w:szCs w:val="24"/>
        </w:rPr>
        <w:t xml:space="preserve"> Por lo tanto, para lograr rastrear estas sociedades creó una genealogía que podría definirse como</w:t>
      </w:r>
      <w:r w:rsidR="0087547B">
        <w:rPr>
          <w:rFonts w:cs="Times New Roman"/>
          <w:szCs w:val="24"/>
        </w:rPr>
        <w:t xml:space="preserve"> </w:t>
      </w:r>
      <w:proofErr w:type="spellStart"/>
      <w:r w:rsidR="0087547B">
        <w:rPr>
          <w:rFonts w:cs="Times New Roman"/>
          <w:szCs w:val="24"/>
        </w:rPr>
        <w:t>el</w:t>
      </w:r>
      <w:proofErr w:type="spellEnd"/>
      <w:r w:rsidRPr="00E155B3">
        <w:rPr>
          <w:rFonts w:cs="Times New Roman"/>
          <w:szCs w:val="24"/>
        </w:rPr>
        <w:t xml:space="preserve">: </w:t>
      </w:r>
    </w:p>
    <w:p w:rsidR="003103DA" w:rsidRPr="00E563EF" w:rsidRDefault="00187830" w:rsidP="00E563EF">
      <w:pPr>
        <w:pStyle w:val="Cita"/>
      </w:pPr>
      <w:r w:rsidRPr="00E563EF">
        <w:t>I</w:t>
      </w:r>
      <w:r w:rsidR="003103DA" w:rsidRPr="00E563EF">
        <w:t>nstrumento artesanal que nos permite comprender la génesis y las transformaciones de los sistemas implícitos [...] La genealogía está al servicio de la verdad entre otras cosas porque desvela las políticas de verdad y los intereses en juego, desvela los juegos de verdad y sus formas hegemónicas.</w:t>
      </w:r>
      <w:r w:rsidR="00EB61E1" w:rsidRPr="00E563EF">
        <w:t xml:space="preserve"> </w:t>
      </w:r>
      <w:sdt>
        <w:sdtPr>
          <w:id w:val="3780081"/>
          <w:citation/>
        </w:sdtPr>
        <w:sdtContent>
          <w:r w:rsidR="004967BC" w:rsidRPr="00E563EF">
            <w:fldChar w:fldCharType="begin"/>
          </w:r>
          <w:r w:rsidR="00E0301F">
            <w:instrText xml:space="preserve">CITATION Mic79 \p 15 \t  \l 9226 </w:instrText>
          </w:r>
          <w:r w:rsidR="004967BC" w:rsidRPr="00E563EF">
            <w:fldChar w:fldCharType="separate"/>
          </w:r>
          <w:r w:rsidR="00E0301F">
            <w:rPr>
              <w:noProof/>
            </w:rPr>
            <w:t>(Foucault, 1979, pág. 15)</w:t>
          </w:r>
          <w:r w:rsidR="004967BC" w:rsidRPr="00E563EF">
            <w:fldChar w:fldCharType="end"/>
          </w:r>
        </w:sdtContent>
      </w:sdt>
    </w:p>
    <w:p w:rsidR="00C36A88" w:rsidRDefault="003103DA" w:rsidP="00CD06E3">
      <w:pPr>
        <w:spacing w:after="0"/>
        <w:rPr>
          <w:rFonts w:cs="Times New Roman"/>
          <w:szCs w:val="24"/>
        </w:rPr>
      </w:pPr>
      <w:r w:rsidRPr="00E155B3">
        <w:rPr>
          <w:rFonts w:cs="Times New Roman"/>
          <w:szCs w:val="24"/>
        </w:rPr>
        <w:t xml:space="preserve">En el estudio de estos, </w:t>
      </w:r>
      <w:r w:rsidR="00935A76">
        <w:rPr>
          <w:rFonts w:cs="Times New Roman"/>
          <w:szCs w:val="24"/>
        </w:rPr>
        <w:t xml:space="preserve">rastreó </w:t>
      </w:r>
      <w:r w:rsidRPr="00E155B3">
        <w:rPr>
          <w:rFonts w:cs="Times New Roman"/>
          <w:szCs w:val="24"/>
        </w:rPr>
        <w:t>tres sistemas, dispositivos de poder o socied</w:t>
      </w:r>
      <w:r w:rsidR="00EC100D">
        <w:rPr>
          <w:rFonts w:cs="Times New Roman"/>
          <w:szCs w:val="24"/>
        </w:rPr>
        <w:t xml:space="preserve">ades, que podemos resumirlos de la siguiente </w:t>
      </w:r>
      <w:r w:rsidRPr="00E155B3">
        <w:rPr>
          <w:rFonts w:cs="Times New Roman"/>
          <w:szCs w:val="24"/>
        </w:rPr>
        <w:t>manera:</w:t>
      </w:r>
    </w:p>
    <w:p w:rsidR="003D5798" w:rsidRPr="00E155B3" w:rsidRDefault="00F109D5" w:rsidP="004342EF">
      <w:pPr>
        <w:pStyle w:val="Ttulo3"/>
        <w:rPr>
          <w:rFonts w:eastAsiaTheme="minorHAnsi"/>
        </w:rPr>
      </w:pPr>
      <w:bookmarkStart w:id="4" w:name="_Hlk1659787"/>
      <w:bookmarkStart w:id="5" w:name="_Toc12899002"/>
      <w:r>
        <w:rPr>
          <w:rFonts w:eastAsiaTheme="minorHAnsi"/>
        </w:rPr>
        <w:t xml:space="preserve">1.1 </w:t>
      </w:r>
      <w:r w:rsidR="003D5798" w:rsidRPr="00E155B3">
        <w:rPr>
          <w:rFonts w:eastAsiaTheme="minorHAnsi"/>
        </w:rPr>
        <w:t>El régimen soberano: Relación soberano- súbdito</w:t>
      </w:r>
      <w:bookmarkEnd w:id="4"/>
      <w:r w:rsidR="003D5798" w:rsidRPr="00E155B3">
        <w:rPr>
          <w:rFonts w:eastAsiaTheme="minorHAnsi"/>
        </w:rPr>
        <w:t>.</w:t>
      </w:r>
      <w:bookmarkEnd w:id="5"/>
    </w:p>
    <w:p w:rsidR="00C06641" w:rsidRPr="00C06641" w:rsidRDefault="00C74E41" w:rsidP="00C06641">
      <w:pPr>
        <w:spacing w:after="0"/>
        <w:rPr>
          <w:rFonts w:cs="Times New Roman"/>
          <w:szCs w:val="24"/>
        </w:rPr>
      </w:pPr>
      <w:r w:rsidRPr="00E155B3">
        <w:rPr>
          <w:rFonts w:cs="Times New Roman"/>
          <w:szCs w:val="24"/>
        </w:rPr>
        <w:t xml:space="preserve">El </w:t>
      </w:r>
      <w:r w:rsidRPr="00935A76">
        <w:rPr>
          <w:rFonts w:cs="Times New Roman"/>
          <w:i/>
          <w:szCs w:val="24"/>
        </w:rPr>
        <w:t>poder soberano</w:t>
      </w:r>
      <w:r>
        <w:rPr>
          <w:rFonts w:cs="Times New Roman"/>
          <w:i/>
          <w:szCs w:val="24"/>
        </w:rPr>
        <w:t xml:space="preserve"> te</w:t>
      </w:r>
      <w:r w:rsidRPr="00E155B3">
        <w:rPr>
          <w:rFonts w:cs="Times New Roman"/>
          <w:szCs w:val="24"/>
        </w:rPr>
        <w:t xml:space="preserve">nía como rasgo principal la aplicabilidad del castigo única y exclusivamente sobre el cuerpo del </w:t>
      </w:r>
      <w:r w:rsidRPr="00E155B3">
        <w:rPr>
          <w:rFonts w:cs="Times New Roman"/>
          <w:b/>
          <w:szCs w:val="24"/>
        </w:rPr>
        <w:t>individuo</w:t>
      </w:r>
      <w:r w:rsidRPr="00E155B3">
        <w:rPr>
          <w:rFonts w:cs="Times New Roman"/>
          <w:szCs w:val="24"/>
        </w:rPr>
        <w:t>, por delitos que variaban desde la amputación de una mano hasta la muerte del mismo</w:t>
      </w:r>
      <w:r>
        <w:rPr>
          <w:rFonts w:cs="Times New Roman"/>
          <w:szCs w:val="24"/>
        </w:rPr>
        <w:t xml:space="preserve">. </w:t>
      </w:r>
      <w:r w:rsidRPr="00792B3D">
        <w:rPr>
          <w:rFonts w:cs="Times New Roman"/>
          <w:szCs w:val="24"/>
        </w:rPr>
        <w:t xml:space="preserve">Estas sociedades o sistemas de gobierno, se caracterizaban por el derecho que tenía el soberano </w:t>
      </w:r>
      <w:r w:rsidRPr="00292E89">
        <w:rPr>
          <w:rFonts w:cs="Times New Roman"/>
          <w:szCs w:val="24"/>
        </w:rPr>
        <w:t>de imponer un castigo sobre el individuo que la mayoría de las veces implicaba su muerte. La aplicabilidad del castigo se veía como un ritual por medio del cual el soberano ejercía tanto su poder como su derecho de muerte sobre el individuo. Desde esta perspectiva el soberano hacía respetar su palabra, la ley, y se veía al infractor de la ley como atentando contra el soberano mismo.</w:t>
      </w:r>
      <w:r w:rsidR="00C06641">
        <w:rPr>
          <w:rFonts w:cs="Times New Roman"/>
          <w:szCs w:val="24"/>
        </w:rPr>
        <w:t xml:space="preserve"> </w:t>
      </w:r>
    </w:p>
    <w:p w:rsidR="003D5798" w:rsidRDefault="00C74E41" w:rsidP="003103DA">
      <w:pPr>
        <w:pStyle w:val="NormalWeb"/>
        <w:spacing w:line="360" w:lineRule="auto"/>
        <w:rPr>
          <w:rFonts w:eastAsiaTheme="minorHAnsi"/>
          <w:lang w:eastAsia="en-US"/>
        </w:rPr>
      </w:pPr>
      <w:r>
        <w:rPr>
          <w:rFonts w:eastAsiaTheme="minorHAnsi"/>
          <w:lang w:eastAsia="en-US"/>
        </w:rPr>
        <w:t>Podemos observar que esta forma de poder es muy cercana a la manera como se recrea el poder desde el punto de vista de la filosofía clásica</w:t>
      </w:r>
      <w:r w:rsidR="00F14906">
        <w:rPr>
          <w:rFonts w:eastAsiaTheme="minorHAnsi"/>
          <w:lang w:eastAsia="en-US"/>
        </w:rPr>
        <w:t xml:space="preserve"> occidental</w:t>
      </w:r>
      <w:r>
        <w:rPr>
          <w:rFonts w:eastAsiaTheme="minorHAnsi"/>
          <w:lang w:eastAsia="en-US"/>
        </w:rPr>
        <w:t xml:space="preserve">. </w:t>
      </w:r>
      <w:r w:rsidR="00F14906">
        <w:rPr>
          <w:rFonts w:eastAsiaTheme="minorHAnsi"/>
          <w:lang w:eastAsia="en-US"/>
        </w:rPr>
        <w:t xml:space="preserve">Por </w:t>
      </w:r>
      <w:r w:rsidR="00F14906">
        <w:rPr>
          <w:rFonts w:eastAsiaTheme="minorHAnsi"/>
          <w:lang w:eastAsia="en-US"/>
        </w:rPr>
        <w:lastRenderedPageBreak/>
        <w:t>ejemplo, en Hobbes: u</w:t>
      </w:r>
      <w:r>
        <w:rPr>
          <w:rFonts w:eastAsiaTheme="minorHAnsi"/>
          <w:lang w:eastAsia="en-US"/>
        </w:rPr>
        <w:t xml:space="preserve">n poder soberano, absoluto </w:t>
      </w:r>
      <w:r w:rsidR="00F14906">
        <w:rPr>
          <w:rFonts w:eastAsiaTheme="minorHAnsi"/>
          <w:lang w:eastAsia="en-US"/>
        </w:rPr>
        <w:t>e indivisible que organiza la sociedad a través de su ejercicio. Sin embargo, e</w:t>
      </w:r>
      <w:r w:rsidR="003D5798" w:rsidRPr="00E155B3">
        <w:rPr>
          <w:rFonts w:eastAsiaTheme="minorHAnsi"/>
          <w:lang w:eastAsia="en-US"/>
        </w:rPr>
        <w:t>ste sistema, sociedad o modelo es considerado netamente prohibitivo</w:t>
      </w:r>
      <w:r w:rsidR="00F14906">
        <w:rPr>
          <w:rFonts w:eastAsiaTheme="minorHAnsi"/>
          <w:lang w:eastAsia="en-US"/>
        </w:rPr>
        <w:t xml:space="preserve"> o destructivo</w:t>
      </w:r>
      <w:r w:rsidR="003D5798" w:rsidRPr="00E155B3">
        <w:rPr>
          <w:rFonts w:eastAsiaTheme="minorHAnsi"/>
          <w:lang w:eastAsia="en-US"/>
        </w:rPr>
        <w:t xml:space="preserve">, </w:t>
      </w:r>
      <w:r w:rsidR="000E4B19">
        <w:rPr>
          <w:rFonts w:eastAsiaTheme="minorHAnsi"/>
          <w:lang w:eastAsia="en-US"/>
        </w:rPr>
        <w:t>debido a</w:t>
      </w:r>
      <w:r w:rsidR="003D5798" w:rsidRPr="00E155B3">
        <w:rPr>
          <w:rFonts w:eastAsiaTheme="minorHAnsi"/>
          <w:lang w:eastAsia="en-US"/>
        </w:rPr>
        <w:t xml:space="preserve"> que el castigo tenía como fin el cuerpo del individuo, </w:t>
      </w:r>
      <w:r w:rsidR="00F14906">
        <w:rPr>
          <w:rFonts w:eastAsiaTheme="minorHAnsi"/>
          <w:lang w:eastAsia="en-US"/>
        </w:rPr>
        <w:t xml:space="preserve">usualmente su muerte, </w:t>
      </w:r>
      <w:r w:rsidR="003D5798" w:rsidRPr="00E155B3">
        <w:rPr>
          <w:rFonts w:eastAsiaTheme="minorHAnsi"/>
          <w:lang w:eastAsia="en-US"/>
        </w:rPr>
        <w:t xml:space="preserve">es decir, todo individuo que violara la ley, estaba condenado a ser castigado, </w:t>
      </w:r>
      <w:r w:rsidR="00346E96">
        <w:rPr>
          <w:rFonts w:eastAsiaTheme="minorHAnsi"/>
          <w:lang w:eastAsia="en-US"/>
        </w:rPr>
        <w:t xml:space="preserve">es decir, a ser sometido al poder soberano: </w:t>
      </w:r>
      <w:r w:rsidR="003D5798" w:rsidRPr="00DB054D">
        <w:rPr>
          <w:rFonts w:eastAsiaTheme="minorHAnsi"/>
          <w:i/>
          <w:lang w:eastAsia="en-US"/>
        </w:rPr>
        <w:t>En la soberanía y la obediencia de los individuos sometidos a ella y poner de relieve, en lugar de una u otra, el problema de la dominación, es el sometimiento</w:t>
      </w:r>
      <w:r w:rsidR="00EB61E1" w:rsidRPr="00DB054D">
        <w:rPr>
          <w:rFonts w:eastAsiaTheme="minorHAnsi"/>
          <w:i/>
          <w:lang w:eastAsia="en-US"/>
        </w:rPr>
        <w:t>”</w:t>
      </w:r>
      <w:r w:rsidR="003D5798" w:rsidRPr="00DB054D">
        <w:rPr>
          <w:rFonts w:eastAsiaTheme="minorHAnsi"/>
          <w:i/>
          <w:lang w:eastAsia="en-US"/>
        </w:rPr>
        <w:t xml:space="preserve"> </w:t>
      </w:r>
      <w:sdt>
        <w:sdtPr>
          <w:rPr>
            <w:rFonts w:eastAsiaTheme="minorHAnsi"/>
            <w:lang w:eastAsia="en-US"/>
          </w:rPr>
          <w:id w:val="3780082"/>
          <w:citation/>
        </w:sdtPr>
        <w:sdtContent>
          <w:r w:rsidR="004967BC">
            <w:rPr>
              <w:rFonts w:eastAsiaTheme="minorHAnsi"/>
              <w:lang w:eastAsia="en-US"/>
            </w:rPr>
            <w:fldChar w:fldCharType="begin"/>
          </w:r>
          <w:r w:rsidR="00346E96">
            <w:rPr>
              <w:rFonts w:eastAsiaTheme="minorHAnsi"/>
              <w:lang w:eastAsia="en-US"/>
            </w:rPr>
            <w:instrText xml:space="preserve">CITATION Mic00 \p 36 \t  \l 9226 </w:instrText>
          </w:r>
          <w:r w:rsidR="004967BC">
            <w:rPr>
              <w:rFonts w:eastAsiaTheme="minorHAnsi"/>
              <w:lang w:eastAsia="en-US"/>
            </w:rPr>
            <w:fldChar w:fldCharType="separate"/>
          </w:r>
          <w:r w:rsidR="00346E96" w:rsidRPr="00346E96">
            <w:rPr>
              <w:rFonts w:eastAsiaTheme="minorHAnsi"/>
              <w:noProof/>
              <w:lang w:eastAsia="en-US"/>
            </w:rPr>
            <w:t>(Foucault, 2000, pág. 36)</w:t>
          </w:r>
          <w:r w:rsidR="004967BC">
            <w:rPr>
              <w:rFonts w:eastAsiaTheme="minorHAnsi"/>
              <w:lang w:eastAsia="en-US"/>
            </w:rPr>
            <w:fldChar w:fldCharType="end"/>
          </w:r>
        </w:sdtContent>
      </w:sdt>
      <w:r w:rsidR="00EB61E1">
        <w:rPr>
          <w:rFonts w:eastAsiaTheme="minorHAnsi"/>
          <w:lang w:eastAsia="en-US"/>
        </w:rPr>
        <w:t xml:space="preserve">. </w:t>
      </w:r>
      <w:r w:rsidR="00346E96">
        <w:rPr>
          <w:rFonts w:eastAsiaTheme="minorHAnsi"/>
          <w:lang w:eastAsia="en-US"/>
        </w:rPr>
        <w:t>E</w:t>
      </w:r>
      <w:r w:rsidR="003D5798" w:rsidRPr="00E155B3">
        <w:rPr>
          <w:rFonts w:eastAsiaTheme="minorHAnsi"/>
          <w:lang w:eastAsia="en-US"/>
        </w:rPr>
        <w:t xml:space="preserve">n este tipo de sociedad se caracterizaba en primer lugar, por someter al individuo por medio de la dominación, lo cual terminaba con la obediencia del mismo. En segundo lugar, cada castigo no dependía del delito cometido, sino de la voluntad del rey. </w:t>
      </w:r>
      <w:r w:rsidR="00346E96">
        <w:rPr>
          <w:rFonts w:eastAsiaTheme="minorHAnsi"/>
          <w:lang w:eastAsia="en-US"/>
        </w:rPr>
        <w:t>Igualmente, p</w:t>
      </w:r>
      <w:r w:rsidR="00136F9D">
        <w:rPr>
          <w:rFonts w:eastAsiaTheme="minorHAnsi"/>
          <w:lang w:eastAsia="en-US"/>
        </w:rPr>
        <w:t xml:space="preserve">ara el poder soberano el territorio es importante, </w:t>
      </w:r>
      <w:r w:rsidR="00346E96" w:rsidRPr="00E155B3">
        <w:rPr>
          <w:rFonts w:eastAsiaTheme="minorHAnsi"/>
          <w:lang w:eastAsia="en-US"/>
        </w:rPr>
        <w:t>Para Le Maître el soberano correcto, es aquel que no solo está ubicado en un buen territorio, sino que controla de manera correcta el territorio, que a su vez se encuentra ligado con la circulación de ideas, órdenes y comercio. Así pues, relación entre soberanía y territorio, es la aparición de una serie de funciones propiamente urbanas, económicas, morales y administrativas.</w:t>
      </w:r>
      <w:r w:rsidR="003D5798" w:rsidRPr="00E155B3">
        <w:rPr>
          <w:rFonts w:eastAsiaTheme="minorHAnsi"/>
          <w:lang w:eastAsia="en-US"/>
        </w:rPr>
        <w:t xml:space="preserve"> </w:t>
      </w:r>
    </w:p>
    <w:p w:rsidR="00C06641" w:rsidRPr="00E155B3" w:rsidRDefault="00C06641" w:rsidP="003103DA">
      <w:pPr>
        <w:pStyle w:val="NormalWeb"/>
        <w:spacing w:line="360" w:lineRule="auto"/>
        <w:rPr>
          <w:rFonts w:eastAsiaTheme="minorHAnsi"/>
          <w:lang w:eastAsia="en-US"/>
        </w:rPr>
      </w:pPr>
    </w:p>
    <w:p w:rsidR="003D5798" w:rsidRPr="003103DA" w:rsidRDefault="00F109D5" w:rsidP="004342EF">
      <w:pPr>
        <w:pStyle w:val="Ttulo3"/>
        <w:rPr>
          <w:rFonts w:eastAsiaTheme="minorHAnsi"/>
        </w:rPr>
      </w:pPr>
      <w:bookmarkStart w:id="6" w:name="_Toc12899003"/>
      <w:bookmarkStart w:id="7" w:name="_Hlk1659822"/>
      <w:r>
        <w:rPr>
          <w:rFonts w:eastAsiaTheme="minorHAnsi"/>
        </w:rPr>
        <w:t xml:space="preserve">1.2 </w:t>
      </w:r>
      <w:r w:rsidR="003D5798" w:rsidRPr="003103DA">
        <w:rPr>
          <w:rFonts w:eastAsiaTheme="minorHAnsi"/>
        </w:rPr>
        <w:t>Sociedades disciplinarias: Un nuevo método de control sobre el cuerpo</w:t>
      </w:r>
      <w:bookmarkEnd w:id="6"/>
    </w:p>
    <w:bookmarkEnd w:id="7"/>
    <w:p w:rsidR="00C74E41" w:rsidRDefault="00C74E41" w:rsidP="00C74E41">
      <w:pPr>
        <w:spacing w:after="0"/>
        <w:rPr>
          <w:rFonts w:cs="Times New Roman"/>
          <w:szCs w:val="24"/>
        </w:rPr>
      </w:pPr>
      <w:r>
        <w:rPr>
          <w:rFonts w:cs="Times New Roman"/>
          <w:szCs w:val="24"/>
        </w:rPr>
        <w:t xml:space="preserve">A principios del siglo XIX según Foucault se desarrolla un nuevo tipo de poder completamente distinto al poder soberano. Es lo que Foucault llama </w:t>
      </w:r>
      <w:r w:rsidRPr="00941600">
        <w:rPr>
          <w:rFonts w:cs="Times New Roman"/>
          <w:i/>
          <w:szCs w:val="24"/>
        </w:rPr>
        <w:t>poder disciplinar</w:t>
      </w:r>
      <w:r>
        <w:rPr>
          <w:rFonts w:cs="Times New Roman"/>
          <w:szCs w:val="24"/>
        </w:rPr>
        <w:t>. Mientras que el poder soberano se fundamenta</w:t>
      </w:r>
      <w:r w:rsidR="0008536C">
        <w:rPr>
          <w:rFonts w:cs="Times New Roman"/>
          <w:szCs w:val="24"/>
        </w:rPr>
        <w:t>ba</w:t>
      </w:r>
      <w:r>
        <w:rPr>
          <w:rFonts w:cs="Times New Roman"/>
          <w:szCs w:val="24"/>
        </w:rPr>
        <w:t xml:space="preserve"> a nivel jurídico por medio de la existencia de leyes dictadas por un soberano, </w:t>
      </w:r>
      <w:r w:rsidRPr="00E155B3">
        <w:rPr>
          <w:rFonts w:cs="Times New Roman"/>
          <w:szCs w:val="24"/>
        </w:rPr>
        <w:t xml:space="preserve">el </w:t>
      </w:r>
      <w:r w:rsidRPr="00935A76">
        <w:rPr>
          <w:rFonts w:cs="Times New Roman"/>
          <w:i/>
          <w:szCs w:val="24"/>
        </w:rPr>
        <w:t>poder disciplinar</w:t>
      </w:r>
      <w:r w:rsidRPr="00E155B3">
        <w:rPr>
          <w:rFonts w:cs="Times New Roman"/>
          <w:szCs w:val="24"/>
        </w:rPr>
        <w:t xml:space="preserve"> </w:t>
      </w:r>
      <w:r>
        <w:rPr>
          <w:rFonts w:cs="Times New Roman"/>
          <w:szCs w:val="24"/>
        </w:rPr>
        <w:t>se organiza en una multiplicidad de instituciones donde los cuerpos de los ciudadanos están controlados, no por leyes, sino por normas. Instituciones como clínicas, escuelas, hospitales, entre otros, s</w:t>
      </w:r>
      <w:r w:rsidR="0008536C">
        <w:rPr>
          <w:rFonts w:cs="Times New Roman"/>
          <w:szCs w:val="24"/>
        </w:rPr>
        <w:t xml:space="preserve">on las nuevas instituciones </w:t>
      </w:r>
      <w:r>
        <w:rPr>
          <w:rFonts w:cs="Times New Roman"/>
          <w:szCs w:val="24"/>
        </w:rPr>
        <w:t xml:space="preserve">donde el poder político se desarrolla. El propósito de este tipo de poder no es castigar una </w:t>
      </w:r>
      <w:r w:rsidR="0008536C">
        <w:rPr>
          <w:rFonts w:cs="Times New Roman"/>
          <w:szCs w:val="24"/>
        </w:rPr>
        <w:t>ofensa</w:t>
      </w:r>
      <w:r>
        <w:rPr>
          <w:rFonts w:cs="Times New Roman"/>
          <w:szCs w:val="24"/>
        </w:rPr>
        <w:t xml:space="preserve"> que es vista como dirigida al soberano, el propósito es moldear los cuerpos de los ciudadanos, volverlos dóciles</w:t>
      </w:r>
      <w:r w:rsidR="0008536C">
        <w:rPr>
          <w:rFonts w:cs="Times New Roman"/>
          <w:szCs w:val="24"/>
        </w:rPr>
        <w:t xml:space="preserve"> y útiles</w:t>
      </w:r>
      <w:sdt>
        <w:sdtPr>
          <w:rPr>
            <w:rFonts w:cs="Times New Roman"/>
            <w:szCs w:val="24"/>
          </w:rPr>
          <w:id w:val="2020730842"/>
          <w:citation/>
        </w:sdtPr>
        <w:sdtContent>
          <w:r w:rsidR="004967BC">
            <w:rPr>
              <w:rFonts w:cs="Times New Roman"/>
              <w:szCs w:val="24"/>
            </w:rPr>
            <w:fldChar w:fldCharType="begin"/>
          </w:r>
          <w:r w:rsidR="0008536C">
            <w:rPr>
              <w:rFonts w:cs="Times New Roman"/>
              <w:szCs w:val="24"/>
            </w:rPr>
            <w:instrText xml:space="preserve">CITATION Fou00 \p 5 \t  \l 9226 </w:instrText>
          </w:r>
          <w:r w:rsidR="004967BC">
            <w:rPr>
              <w:rFonts w:cs="Times New Roman"/>
              <w:szCs w:val="24"/>
            </w:rPr>
            <w:fldChar w:fldCharType="separate"/>
          </w:r>
          <w:r w:rsidR="0008536C">
            <w:rPr>
              <w:rFonts w:cs="Times New Roman"/>
              <w:noProof/>
              <w:szCs w:val="24"/>
            </w:rPr>
            <w:t xml:space="preserve"> </w:t>
          </w:r>
          <w:r w:rsidR="0008536C" w:rsidRPr="0008536C">
            <w:rPr>
              <w:rFonts w:cs="Times New Roman"/>
              <w:noProof/>
              <w:szCs w:val="24"/>
            </w:rPr>
            <w:t>(Foucault, 2000, pág. 5)</w:t>
          </w:r>
          <w:r w:rsidR="004967BC">
            <w:rPr>
              <w:rFonts w:cs="Times New Roman"/>
              <w:szCs w:val="24"/>
            </w:rPr>
            <w:fldChar w:fldCharType="end"/>
          </w:r>
        </w:sdtContent>
      </w:sdt>
      <w:r>
        <w:rPr>
          <w:rFonts w:cs="Times New Roman"/>
          <w:szCs w:val="24"/>
        </w:rPr>
        <w:t xml:space="preserve"> con el propósito de </w:t>
      </w:r>
      <w:r>
        <w:rPr>
          <w:rFonts w:cs="Times New Roman"/>
          <w:szCs w:val="24"/>
        </w:rPr>
        <w:lastRenderedPageBreak/>
        <w:t>integrarlos a la sociedad</w:t>
      </w:r>
      <w:r w:rsidRPr="00792B3D">
        <w:rPr>
          <w:rFonts w:cs="Times New Roman"/>
          <w:szCs w:val="24"/>
        </w:rPr>
        <w:t>.</w:t>
      </w:r>
      <w:r>
        <w:rPr>
          <w:rFonts w:cs="Times New Roman"/>
          <w:szCs w:val="24"/>
        </w:rPr>
        <w:t xml:space="preserve"> As</w:t>
      </w:r>
      <w:r w:rsidR="00E563EF">
        <w:rPr>
          <w:rFonts w:cs="Times New Roman"/>
          <w:szCs w:val="24"/>
        </w:rPr>
        <w:t>í</w:t>
      </w:r>
      <w:r>
        <w:rPr>
          <w:rFonts w:cs="Times New Roman"/>
          <w:szCs w:val="24"/>
        </w:rPr>
        <w:t>, mientras que el poder soberano destruye cuerpos, el poder disciplinar los fabrica.</w:t>
      </w:r>
    </w:p>
    <w:p w:rsidR="00A52853" w:rsidRPr="00F374FB" w:rsidRDefault="00F374FB" w:rsidP="00E563EF">
      <w:pPr>
        <w:pStyle w:val="Cita"/>
        <w:rPr>
          <w:sz w:val="22"/>
        </w:rPr>
      </w:pPr>
      <w:r>
        <w:rPr>
          <w:sz w:val="22"/>
        </w:rPr>
        <w:t>L</w:t>
      </w:r>
      <w:r w:rsidR="003D5798" w:rsidRPr="00F374FB">
        <w:rPr>
          <w:sz w:val="22"/>
        </w:rPr>
        <w:t>o que hace que el poder se aferré, que sea aceptado, es simplemente que no pesa solamente como una fuerza que dice no, sino que de hecho circula, producí</w:t>
      </w:r>
      <w:r w:rsidR="00A52853" w:rsidRPr="00F374FB">
        <w:rPr>
          <w:sz w:val="22"/>
        </w:rPr>
        <w:t>a</w:t>
      </w:r>
      <w:r w:rsidR="003D5798" w:rsidRPr="00F374FB">
        <w:rPr>
          <w:sz w:val="22"/>
        </w:rPr>
        <w:t xml:space="preserve"> cosas, induce al placer, forma saber, produce discursos; es preciso considerarlo más como una red productiva que atraviesa todo el cuerpo social que como una instancia negativa </w:t>
      </w:r>
      <w:r>
        <w:rPr>
          <w:sz w:val="22"/>
        </w:rPr>
        <w:t>que tiene como función reprimir.</w:t>
      </w:r>
      <w:sdt>
        <w:sdtPr>
          <w:rPr>
            <w:sz w:val="22"/>
          </w:rPr>
          <w:id w:val="3780101"/>
          <w:citation/>
        </w:sdtPr>
        <w:sdtContent>
          <w:r w:rsidR="004967BC" w:rsidRPr="00F374FB">
            <w:rPr>
              <w:sz w:val="22"/>
            </w:rPr>
            <w:fldChar w:fldCharType="begin"/>
          </w:r>
          <w:r>
            <w:rPr>
              <w:sz w:val="22"/>
            </w:rPr>
            <w:instrText xml:space="preserve">CITATION Mic79 \t  \l 9226 </w:instrText>
          </w:r>
          <w:r w:rsidR="004967BC" w:rsidRPr="00F374FB">
            <w:rPr>
              <w:sz w:val="22"/>
            </w:rPr>
            <w:fldChar w:fldCharType="separate"/>
          </w:r>
          <w:r>
            <w:rPr>
              <w:noProof/>
              <w:sz w:val="22"/>
            </w:rPr>
            <w:t xml:space="preserve"> </w:t>
          </w:r>
          <w:r w:rsidRPr="00F374FB">
            <w:rPr>
              <w:noProof/>
              <w:sz w:val="22"/>
            </w:rPr>
            <w:t>(Foucault, 1979)</w:t>
          </w:r>
          <w:r w:rsidR="004967BC" w:rsidRPr="00F374FB">
            <w:rPr>
              <w:sz w:val="22"/>
            </w:rPr>
            <w:fldChar w:fldCharType="end"/>
          </w:r>
        </w:sdtContent>
      </w:sdt>
    </w:p>
    <w:p w:rsidR="003D5798" w:rsidRPr="003103DA" w:rsidRDefault="003D5798" w:rsidP="003103DA">
      <w:pPr>
        <w:pStyle w:val="NormalWeb"/>
        <w:spacing w:line="360" w:lineRule="auto"/>
        <w:rPr>
          <w:rFonts w:eastAsiaTheme="minorHAnsi"/>
          <w:lang w:eastAsia="en-US"/>
        </w:rPr>
      </w:pPr>
      <w:r w:rsidRPr="00E563EF">
        <w:rPr>
          <w:rFonts w:eastAsiaTheme="minorHAnsi"/>
          <w:lang w:eastAsia="en-US"/>
        </w:rPr>
        <w:t xml:space="preserve">Hasta este punto entendemos </w:t>
      </w:r>
      <w:r w:rsidR="003D0DDA" w:rsidRPr="00E563EF">
        <w:rPr>
          <w:rFonts w:eastAsiaTheme="minorHAnsi"/>
          <w:lang w:eastAsia="en-US"/>
        </w:rPr>
        <w:t>que</w:t>
      </w:r>
      <w:r w:rsidRPr="00E563EF">
        <w:rPr>
          <w:rFonts w:eastAsiaTheme="minorHAnsi"/>
          <w:lang w:eastAsia="en-US"/>
        </w:rPr>
        <w:t xml:space="preserve"> para Foucault</w:t>
      </w:r>
      <w:r w:rsidR="003D0DDA" w:rsidRPr="00E563EF">
        <w:rPr>
          <w:rFonts w:eastAsiaTheme="minorHAnsi"/>
          <w:lang w:eastAsia="en-US"/>
        </w:rPr>
        <w:t>,</w:t>
      </w:r>
      <w:r w:rsidRPr="00E563EF">
        <w:rPr>
          <w:rFonts w:eastAsiaTheme="minorHAnsi"/>
          <w:lang w:eastAsia="en-US"/>
        </w:rPr>
        <w:t xml:space="preserve"> en las modalidades antiguas o régimen soberano el aspecto disciplinario </w:t>
      </w:r>
      <w:r w:rsidR="00CE4354" w:rsidRPr="00E563EF">
        <w:rPr>
          <w:rFonts w:eastAsiaTheme="minorHAnsi"/>
          <w:lang w:eastAsia="en-US"/>
        </w:rPr>
        <w:t xml:space="preserve">no se encontraba plenamente desarrollado, pues </w:t>
      </w:r>
      <w:r w:rsidRPr="00E563EF">
        <w:rPr>
          <w:rFonts w:eastAsiaTheme="minorHAnsi"/>
          <w:lang w:eastAsia="en-US"/>
        </w:rPr>
        <w:t xml:space="preserve">el castigo ordenado por el soberano no </w:t>
      </w:r>
      <w:proofErr w:type="gramStart"/>
      <w:r w:rsidRPr="00E563EF">
        <w:rPr>
          <w:rFonts w:eastAsiaTheme="minorHAnsi"/>
          <w:lang w:eastAsia="en-US"/>
        </w:rPr>
        <w:t>tenía</w:t>
      </w:r>
      <w:r w:rsidR="009676EA">
        <w:rPr>
          <w:rFonts w:eastAsiaTheme="minorHAnsi"/>
          <w:lang w:eastAsia="en-US"/>
        </w:rPr>
        <w:t xml:space="preserve">  como</w:t>
      </w:r>
      <w:proofErr w:type="gramEnd"/>
      <w:r w:rsidRPr="00E563EF">
        <w:rPr>
          <w:rFonts w:eastAsiaTheme="minorHAnsi"/>
          <w:lang w:eastAsia="en-US"/>
        </w:rPr>
        <w:t xml:space="preserve"> objetivo la corrección</w:t>
      </w:r>
      <w:r w:rsidR="003D0DDA" w:rsidRPr="00E563EF">
        <w:rPr>
          <w:rFonts w:eastAsiaTheme="minorHAnsi"/>
          <w:lang w:eastAsia="en-US"/>
        </w:rPr>
        <w:t xml:space="preserve"> para otros</w:t>
      </w:r>
      <w:r w:rsidRPr="00E563EF">
        <w:rPr>
          <w:rFonts w:eastAsiaTheme="minorHAnsi"/>
          <w:lang w:eastAsia="en-US"/>
        </w:rPr>
        <w:t>, sino castigar directa</w:t>
      </w:r>
      <w:r w:rsidR="003D0DDA" w:rsidRPr="00E563EF">
        <w:rPr>
          <w:rFonts w:eastAsiaTheme="minorHAnsi"/>
          <w:lang w:eastAsia="en-US"/>
        </w:rPr>
        <w:t xml:space="preserve">mente al individuo, </w:t>
      </w:r>
      <w:r w:rsidR="009676EA">
        <w:rPr>
          <w:rFonts w:eastAsiaTheme="minorHAnsi"/>
          <w:lang w:eastAsia="en-US"/>
        </w:rPr>
        <w:t>que a</w:t>
      </w:r>
      <w:r w:rsidR="003D0DDA" w:rsidRPr="00E563EF">
        <w:rPr>
          <w:rFonts w:eastAsiaTheme="minorHAnsi"/>
          <w:lang w:eastAsia="en-US"/>
        </w:rPr>
        <w:t xml:space="preserve"> comparación</w:t>
      </w:r>
      <w:r w:rsidRPr="00E563EF">
        <w:rPr>
          <w:rFonts w:eastAsiaTheme="minorHAnsi"/>
          <w:lang w:eastAsia="en-US"/>
        </w:rPr>
        <w:t xml:space="preserve"> de las</w:t>
      </w:r>
      <w:r w:rsidR="009676EA">
        <w:rPr>
          <w:rFonts w:eastAsiaTheme="minorHAnsi"/>
          <w:lang w:eastAsia="en-US"/>
        </w:rPr>
        <w:t xml:space="preserve"> sociedades disciplinarias, </w:t>
      </w:r>
      <w:r w:rsidRPr="00E563EF">
        <w:rPr>
          <w:rFonts w:eastAsiaTheme="minorHAnsi"/>
          <w:lang w:eastAsia="en-US"/>
        </w:rPr>
        <w:t xml:space="preserve">su objetivo era corregir y </w:t>
      </w:r>
      <w:r w:rsidR="00E563EF" w:rsidRPr="00E563EF">
        <w:rPr>
          <w:rFonts w:eastAsiaTheme="minorHAnsi"/>
          <w:lang w:eastAsia="en-US"/>
        </w:rPr>
        <w:t>moldear</w:t>
      </w:r>
      <w:r w:rsidR="003D0DDA" w:rsidRPr="00E563EF">
        <w:rPr>
          <w:rFonts w:eastAsiaTheme="minorHAnsi"/>
          <w:lang w:eastAsia="en-US"/>
        </w:rPr>
        <w:t xml:space="preserve">, por lo cual podemos concluir que </w:t>
      </w:r>
      <w:r w:rsidRPr="00E563EF">
        <w:rPr>
          <w:rFonts w:eastAsiaTheme="minorHAnsi"/>
          <w:lang w:eastAsia="en-US"/>
        </w:rPr>
        <w:t xml:space="preserve">este sistema o modelo tiene diferencias </w:t>
      </w:r>
      <w:r w:rsidR="009676EA">
        <w:rPr>
          <w:rFonts w:eastAsiaTheme="minorHAnsi"/>
          <w:lang w:eastAsia="en-US"/>
        </w:rPr>
        <w:t xml:space="preserve">bastante notorias </w:t>
      </w:r>
      <w:r w:rsidRPr="00E563EF">
        <w:rPr>
          <w:rFonts w:eastAsiaTheme="minorHAnsi"/>
          <w:lang w:eastAsia="en-US"/>
        </w:rPr>
        <w:t xml:space="preserve">con la soberanía. </w:t>
      </w:r>
    </w:p>
    <w:p w:rsidR="003D5798" w:rsidRPr="003103DA" w:rsidRDefault="00DB054D" w:rsidP="004342EF">
      <w:pPr>
        <w:pStyle w:val="Ttulo3"/>
        <w:rPr>
          <w:rFonts w:eastAsiaTheme="minorHAnsi"/>
        </w:rPr>
      </w:pPr>
      <w:bookmarkStart w:id="8" w:name="_Toc12899004"/>
      <w:bookmarkStart w:id="9" w:name="_Hlk1659874"/>
      <w:r>
        <w:rPr>
          <w:rFonts w:eastAsiaTheme="minorHAnsi"/>
        </w:rPr>
        <w:t xml:space="preserve">1.3 </w:t>
      </w:r>
      <w:r w:rsidR="003D5798" w:rsidRPr="003103DA">
        <w:rPr>
          <w:rFonts w:eastAsiaTheme="minorHAnsi"/>
        </w:rPr>
        <w:t>Sociedades de control: Biopoder/Biopolítica y el Liberalismo</w:t>
      </w:r>
      <w:bookmarkEnd w:id="8"/>
      <w:r w:rsidR="003D5798" w:rsidRPr="003103DA">
        <w:rPr>
          <w:rFonts w:eastAsiaTheme="minorHAnsi"/>
        </w:rPr>
        <w:t xml:space="preserve"> </w:t>
      </w:r>
    </w:p>
    <w:bookmarkEnd w:id="9"/>
    <w:p w:rsidR="00456ECC" w:rsidRDefault="00C74E41" w:rsidP="00FF1C4A">
      <w:pPr>
        <w:spacing w:after="0"/>
      </w:pPr>
      <w:r w:rsidRPr="00E155B3">
        <w:rPr>
          <w:rFonts w:cs="Times New Roman"/>
          <w:szCs w:val="24"/>
        </w:rPr>
        <w:t xml:space="preserve">Por último, </w:t>
      </w:r>
      <w:r>
        <w:rPr>
          <w:rFonts w:cs="Times New Roman"/>
          <w:szCs w:val="24"/>
        </w:rPr>
        <w:t xml:space="preserve">tenemos la aparición en la historia de un nuevo tipo de poder que se desarrolla a mitad del siglo XIX, el </w:t>
      </w:r>
      <w:r>
        <w:rPr>
          <w:rFonts w:cs="Times New Roman"/>
          <w:i/>
          <w:szCs w:val="24"/>
        </w:rPr>
        <w:t>poder biopolítico</w:t>
      </w:r>
      <w:r w:rsidR="00FF1C4A">
        <w:rPr>
          <w:rFonts w:cs="Times New Roman"/>
          <w:i/>
          <w:szCs w:val="24"/>
        </w:rPr>
        <w:t>.</w:t>
      </w:r>
      <w:r>
        <w:rPr>
          <w:rFonts w:cs="Times New Roman"/>
          <w:i/>
          <w:szCs w:val="24"/>
        </w:rPr>
        <w:t xml:space="preserve"> </w:t>
      </w:r>
      <w:r w:rsidR="00FF1C4A">
        <w:rPr>
          <w:rFonts w:cs="Times New Roman"/>
          <w:szCs w:val="24"/>
        </w:rPr>
        <w:t>E</w:t>
      </w:r>
      <w:r w:rsidRPr="0090435B">
        <w:rPr>
          <w:rFonts w:cs="Times New Roman"/>
          <w:szCs w:val="24"/>
        </w:rPr>
        <w:t>sto no quiere decir que los distintos tipos de poder antes mencionados hayan desaparecido, sino que se organizan alrededor de</w:t>
      </w:r>
      <w:r w:rsidR="00FF1C4A">
        <w:rPr>
          <w:rFonts w:cs="Times New Roman"/>
          <w:szCs w:val="24"/>
        </w:rPr>
        <w:t xml:space="preserve">l </w:t>
      </w:r>
      <w:r w:rsidRPr="0090435B">
        <w:rPr>
          <w:rFonts w:cs="Times New Roman"/>
          <w:szCs w:val="24"/>
        </w:rPr>
        <w:t>último generando lo que podríamos llamar sociedades de seguridad</w:t>
      </w:r>
      <w:r>
        <w:rPr>
          <w:rFonts w:cs="Times New Roman"/>
          <w:szCs w:val="24"/>
        </w:rPr>
        <w:t xml:space="preserve">. </w:t>
      </w:r>
      <w:r w:rsidR="00FF1C4A">
        <w:t xml:space="preserve">Lo característico de estas sociedades es que el eje del poder va a estar ligado con la vida, en especial con la vida genérica, la que es compartida por toda una especie o población. </w:t>
      </w:r>
      <w:r w:rsidR="00456ECC">
        <w:t xml:space="preserve">La biopolítica </w:t>
      </w:r>
      <w:r w:rsidR="00FF1C4A">
        <w:t>es entendid</w:t>
      </w:r>
      <w:r w:rsidR="00456ECC">
        <w:t>a</w:t>
      </w:r>
      <w:r w:rsidR="00FF1C4A">
        <w:t xml:space="preserve"> como: </w:t>
      </w:r>
      <w:r w:rsidR="00FF1C4A">
        <w:rPr>
          <w:i/>
        </w:rPr>
        <w:t>“el conjunto de mecanismos por medio de los cuales aquello que, en la especie humana, constituye sus rasgos biológicos fundamentales podrá ser parte de una política, una estrategia política, una estrategia general del poder”</w:t>
      </w:r>
      <w:sdt>
        <w:sdtPr>
          <w:rPr>
            <w:i/>
          </w:rPr>
          <w:id w:val="365888278"/>
          <w:citation/>
        </w:sdtPr>
        <w:sdtContent>
          <w:r w:rsidR="004967BC">
            <w:rPr>
              <w:i/>
            </w:rPr>
            <w:fldChar w:fldCharType="begin"/>
          </w:r>
          <w:r w:rsidR="0093039B">
            <w:rPr>
              <w:i/>
            </w:rPr>
            <w:instrText xml:space="preserve">CITATION Mic07 \p 15 \t  \l 9226 </w:instrText>
          </w:r>
          <w:r w:rsidR="004967BC">
            <w:rPr>
              <w:i/>
            </w:rPr>
            <w:fldChar w:fldCharType="separate"/>
          </w:r>
          <w:r w:rsidR="0093039B">
            <w:rPr>
              <w:i/>
              <w:noProof/>
            </w:rPr>
            <w:t xml:space="preserve"> </w:t>
          </w:r>
          <w:r w:rsidR="0093039B">
            <w:rPr>
              <w:noProof/>
            </w:rPr>
            <w:t>(Foucault, 2007, pág. 15)</w:t>
          </w:r>
          <w:r w:rsidR="004967BC">
            <w:rPr>
              <w:i/>
            </w:rPr>
            <w:fldChar w:fldCharType="end"/>
          </w:r>
        </w:sdtContent>
      </w:sdt>
      <w:r w:rsidR="00FF1C4A">
        <w:t xml:space="preserve">. </w:t>
      </w:r>
      <w:r w:rsidR="00456ECC">
        <w:t>Es decir, ella es</w:t>
      </w:r>
    </w:p>
    <w:p w:rsidR="00C06641" w:rsidRDefault="00C06641" w:rsidP="00FF1C4A">
      <w:pPr>
        <w:spacing w:after="0"/>
      </w:pPr>
    </w:p>
    <w:p w:rsidR="00456ECC" w:rsidRPr="00FF6421" w:rsidRDefault="00456ECC" w:rsidP="00456ECC">
      <w:pPr>
        <w:pStyle w:val="Cita"/>
        <w:rPr>
          <w:rStyle w:val="CitaCar"/>
          <w:i/>
          <w:sz w:val="22"/>
        </w:rPr>
      </w:pPr>
      <w:r w:rsidRPr="00F374FB">
        <w:rPr>
          <w:sz w:val="22"/>
        </w:rPr>
        <w:lastRenderedPageBreak/>
        <w:t>[…] una tecnología de poder destinada a la multiplicidad de los hombres, pero no en cuanto se resume en cuerpos sino en la medida en que forma, al contrario, una masa global, afectada por procesos de conjunto que son propios de la vida, como el nacimiento, la muerte, la producción, la enfermedad […] [la biopolítica] trata de un conjunto de procesos como la proporción de los nacimientos y las defunciones, la tasa de reproducción,</w:t>
      </w:r>
      <w:r w:rsidR="00F374FB">
        <w:rPr>
          <w:sz w:val="22"/>
        </w:rPr>
        <w:t xml:space="preserve"> la fecundidad de una población</w:t>
      </w:r>
      <w:r w:rsidRPr="00F374FB">
        <w:rPr>
          <w:sz w:val="22"/>
        </w:rPr>
        <w:t xml:space="preserve">  </w:t>
      </w:r>
      <w:sdt>
        <w:sdtPr>
          <w:rPr>
            <w:rStyle w:val="CitaCar"/>
            <w:i/>
            <w:sz w:val="22"/>
          </w:rPr>
          <w:id w:val="-1714653975"/>
          <w:citation/>
        </w:sdtPr>
        <w:sdtContent>
          <w:r w:rsidR="004967BC">
            <w:rPr>
              <w:rStyle w:val="CitaCar"/>
              <w:i/>
              <w:sz w:val="22"/>
            </w:rPr>
            <w:fldChar w:fldCharType="begin"/>
          </w:r>
          <w:r w:rsidR="00FF6421">
            <w:rPr>
              <w:rStyle w:val="CitaCar"/>
              <w:i/>
              <w:sz w:val="22"/>
            </w:rPr>
            <w:instrText xml:space="preserve">CITATION Mic06 \t  \l 9226 </w:instrText>
          </w:r>
          <w:r w:rsidR="004967BC">
            <w:rPr>
              <w:rStyle w:val="CitaCar"/>
              <w:i/>
              <w:sz w:val="22"/>
            </w:rPr>
            <w:fldChar w:fldCharType="separate"/>
          </w:r>
          <w:r w:rsidR="00FF6421" w:rsidRPr="00FF6421">
            <w:rPr>
              <w:noProof/>
              <w:sz w:val="22"/>
            </w:rPr>
            <w:t>(Foucault, 2006)</w:t>
          </w:r>
          <w:r w:rsidR="004967BC">
            <w:rPr>
              <w:rStyle w:val="CitaCar"/>
              <w:i/>
              <w:sz w:val="22"/>
            </w:rPr>
            <w:fldChar w:fldCharType="end"/>
          </w:r>
        </w:sdtContent>
      </w:sdt>
    </w:p>
    <w:p w:rsidR="00FF1C4A" w:rsidRDefault="00FF1C4A" w:rsidP="00FF1C4A">
      <w:pPr>
        <w:spacing w:after="0"/>
      </w:pPr>
      <w:r>
        <w:t xml:space="preserve">Es decir, el sujeto al cual va dirigido el poder no es el ciudadano (sujeto de derecho), ni el individuo, ni su cuerpo, sino ciertos rasgos biológicos compartidos por la especie o por una parte de ella. Aquí se </w:t>
      </w:r>
      <w:r>
        <w:rPr>
          <w:i/>
        </w:rPr>
        <w:t>“produce una sustitución importante, o mejor, una duplicación porque los propios sujetos de derecho sobre los cuales se ejerce la soberanía política aparece como una población que el gobierno debe manejar”</w:t>
      </w:r>
      <w:sdt>
        <w:sdtPr>
          <w:rPr>
            <w:i/>
          </w:rPr>
          <w:id w:val="-340160891"/>
          <w:citation/>
        </w:sdtPr>
        <w:sdtContent>
          <w:r w:rsidR="004967BC">
            <w:rPr>
              <w:i/>
            </w:rPr>
            <w:fldChar w:fldCharType="begin"/>
          </w:r>
          <w:r w:rsidR="0093039B">
            <w:rPr>
              <w:i/>
            </w:rPr>
            <w:instrText xml:space="preserve">CITATION Mic07 \p 37 \t  \l 9226 </w:instrText>
          </w:r>
          <w:r w:rsidR="004967BC">
            <w:rPr>
              <w:i/>
            </w:rPr>
            <w:fldChar w:fldCharType="separate"/>
          </w:r>
          <w:r w:rsidR="0093039B">
            <w:rPr>
              <w:i/>
              <w:noProof/>
            </w:rPr>
            <w:t xml:space="preserve"> </w:t>
          </w:r>
          <w:r w:rsidR="0093039B">
            <w:rPr>
              <w:noProof/>
            </w:rPr>
            <w:t>(Foucault, 2007, pág. 37)</w:t>
          </w:r>
          <w:r w:rsidR="004967BC">
            <w:rPr>
              <w:i/>
            </w:rPr>
            <w:fldChar w:fldCharType="end"/>
          </w:r>
        </w:sdtContent>
      </w:sdt>
      <w:r>
        <w:rPr>
          <w:i/>
        </w:rPr>
        <w:t xml:space="preserve"> </w:t>
      </w:r>
    </w:p>
    <w:p w:rsidR="00FF1C4A" w:rsidRDefault="00FF1C4A" w:rsidP="00FF1C4A">
      <w:pPr>
        <w:spacing w:after="0"/>
      </w:pPr>
      <w:r>
        <w:t>Estos rasgos biológicos que pasan a ser importantes a nivel de la organización de la sociedad son, por ejemplo, la muerte, el nacimiento, la enfermedad, y a estos rasgos se le suman todos los rasgos indirectos que pueden incidir en los anteriores, el crimen, la sexualidad, la alimentación. No se trata en este tipo de poder de castigar al individuo,</w:t>
      </w:r>
      <w:r w:rsidR="000437E1">
        <w:t xml:space="preserve"> ni de moldear el cuerpo y </w:t>
      </w:r>
      <w:r>
        <w:t xml:space="preserve">mente en una sociedad, sino de controlar estos rasgos de tal manera que la vida de la especie sea preservada y protegida. Así, el poder biopolítico tiene como objetivo la preservación y protección de la vida.  </w:t>
      </w:r>
      <w:r w:rsidRPr="001B4036">
        <w:rPr>
          <w:i/>
        </w:rPr>
        <w:t xml:space="preserve">(…) La biopolítica va a extraer su saber y definir el campo de intervención de su poder en la natalidad, la morbilidad, las diversas incapacidades biológicas, los efectos del medio.” </w:t>
      </w:r>
      <w:sdt>
        <w:sdtPr>
          <w:rPr>
            <w:i/>
          </w:rPr>
          <w:id w:val="-1663392080"/>
          <w:citation/>
        </w:sdtPr>
        <w:sdtContent>
          <w:r w:rsidR="004967BC">
            <w:rPr>
              <w:i/>
            </w:rPr>
            <w:fldChar w:fldCharType="begin"/>
          </w:r>
          <w:r w:rsidR="00845E77">
            <w:rPr>
              <w:i/>
            </w:rPr>
            <w:instrText xml:space="preserve">CITATION Mic00 \p 22 \t  \l 9226 </w:instrText>
          </w:r>
          <w:r w:rsidR="004967BC">
            <w:rPr>
              <w:i/>
            </w:rPr>
            <w:fldChar w:fldCharType="separate"/>
          </w:r>
          <w:r w:rsidR="00845E77">
            <w:rPr>
              <w:noProof/>
            </w:rPr>
            <w:t>(Foucault, 2000, pág. 22)</w:t>
          </w:r>
          <w:r w:rsidR="004967BC">
            <w:rPr>
              <w:i/>
            </w:rPr>
            <w:fldChar w:fldCharType="end"/>
          </w:r>
        </w:sdtContent>
      </w:sdt>
      <w:r w:rsidRPr="001B4036">
        <w:t>.</w:t>
      </w:r>
      <w:r>
        <w:t xml:space="preserve"> Es decir, no se trata aquí de la protección de la vida del individuo y de su cuerpo, ya que este es visto solo desde la perspectiva de su interacción con la especie. Se trata aquí no más del controlar el fenómeno global, es decir, no controlar el nacimiento de un individuo, sino de controlar la tasa de natalidad de una población especifica. No se trata de salvar o proteger la vi</w:t>
      </w:r>
      <w:r w:rsidR="000437E1">
        <w:t>da de un individuo, sino</w:t>
      </w:r>
      <w:r>
        <w:t xml:space="preserve"> de la especie.</w:t>
      </w:r>
    </w:p>
    <w:p w:rsidR="00C06641" w:rsidRDefault="00C06641" w:rsidP="00FF1C4A">
      <w:pPr>
        <w:spacing w:after="0"/>
      </w:pPr>
    </w:p>
    <w:p w:rsidR="00FF1C4A" w:rsidRPr="00F374FB" w:rsidRDefault="00FF1C4A" w:rsidP="00FF1C4A">
      <w:pPr>
        <w:pStyle w:val="Cita"/>
        <w:rPr>
          <w:sz w:val="22"/>
        </w:rPr>
      </w:pPr>
      <w:r w:rsidRPr="00F374FB">
        <w:rPr>
          <w:sz w:val="22"/>
        </w:rPr>
        <w:lastRenderedPageBreak/>
        <w:t xml:space="preserve">Esta biopolítica, va a introducir mecanismos que tienen una serie de funciones muy diferentes de las correspondientes a los mecanismos disciplinarios. En los mecanismos introducidos por la política, el interés estará en principio, desde luego, en las previsiones, las estimaciones estadísticas, las mediciones globales; se tratará, igualmente, no de modificar tal o cual fenómeno en particular, no a tal o cual individuo en tanto que lo es, sino, en esencia, de intervenir en el nivel de las determinaciones de esos fenómenos generales, esos fenómenos en lo que tienen de global. </w:t>
      </w:r>
      <w:sdt>
        <w:sdtPr>
          <w:rPr>
            <w:sz w:val="22"/>
          </w:rPr>
          <w:id w:val="3780107"/>
          <w:citation/>
        </w:sdtPr>
        <w:sdtContent>
          <w:r w:rsidR="004967BC" w:rsidRPr="00F374FB">
            <w:rPr>
              <w:sz w:val="22"/>
            </w:rPr>
            <w:fldChar w:fldCharType="begin"/>
          </w:r>
          <w:r w:rsidR="00CF0481" w:rsidRPr="00F374FB">
            <w:rPr>
              <w:sz w:val="22"/>
            </w:rPr>
            <w:instrText xml:space="preserve">CITATION Mic06 \t  \l 9226 </w:instrText>
          </w:r>
          <w:r w:rsidR="004967BC" w:rsidRPr="00F374FB">
            <w:rPr>
              <w:sz w:val="22"/>
            </w:rPr>
            <w:fldChar w:fldCharType="separate"/>
          </w:r>
          <w:r w:rsidR="00CF0481" w:rsidRPr="00F374FB">
            <w:rPr>
              <w:noProof/>
              <w:sz w:val="22"/>
            </w:rPr>
            <w:t>(Foucault, 2006)</w:t>
          </w:r>
          <w:r w:rsidR="004967BC" w:rsidRPr="00F374FB">
            <w:rPr>
              <w:noProof/>
              <w:sz w:val="22"/>
            </w:rPr>
            <w:fldChar w:fldCharType="end"/>
          </w:r>
        </w:sdtContent>
      </w:sdt>
    </w:p>
    <w:p w:rsidR="00FF1C4A" w:rsidRDefault="00FF1C4A" w:rsidP="00FF1C4A">
      <w:pPr>
        <w:pStyle w:val="NormalWeb"/>
        <w:spacing w:line="360" w:lineRule="auto"/>
        <w:rPr>
          <w:rFonts w:eastAsiaTheme="minorHAnsi"/>
          <w:lang w:eastAsia="en-US"/>
        </w:rPr>
      </w:pPr>
      <w:r>
        <w:rPr>
          <w:rFonts w:eastAsiaTheme="minorHAnsi"/>
          <w:lang w:eastAsia="en-US"/>
        </w:rPr>
        <w:t xml:space="preserve">Para Foucault, las sociedades de </w:t>
      </w:r>
      <w:r w:rsidRPr="003103DA">
        <w:rPr>
          <w:rFonts w:eastAsiaTheme="minorHAnsi"/>
          <w:lang w:eastAsia="en-US"/>
        </w:rPr>
        <w:t>seguridad</w:t>
      </w:r>
      <w:r>
        <w:rPr>
          <w:rFonts w:eastAsiaTheme="minorHAnsi"/>
          <w:lang w:eastAsia="en-US"/>
        </w:rPr>
        <w:t xml:space="preserve"> están muy ligadas a la génesis del Estado Moderno</w:t>
      </w:r>
      <w:sdt>
        <w:sdtPr>
          <w:rPr>
            <w:rFonts w:eastAsiaTheme="minorHAnsi"/>
            <w:lang w:eastAsia="en-US"/>
          </w:rPr>
          <w:id w:val="-29039117"/>
          <w:citation/>
        </w:sdtPr>
        <w:sdtContent>
          <w:r w:rsidR="004967BC">
            <w:rPr>
              <w:rFonts w:eastAsiaTheme="minorHAnsi"/>
              <w:lang w:eastAsia="en-US"/>
            </w:rPr>
            <w:fldChar w:fldCharType="begin"/>
          </w:r>
          <w:r w:rsidR="00CF0481">
            <w:rPr>
              <w:rFonts w:eastAsiaTheme="minorHAnsi"/>
              <w:lang w:eastAsia="en-US"/>
            </w:rPr>
            <w:instrText xml:space="preserve">CITATION Mic00 \t  \l 9226 </w:instrText>
          </w:r>
          <w:r w:rsidR="004967BC">
            <w:rPr>
              <w:rFonts w:eastAsiaTheme="minorHAnsi"/>
              <w:lang w:eastAsia="en-US"/>
            </w:rPr>
            <w:fldChar w:fldCharType="separate"/>
          </w:r>
          <w:r w:rsidR="00CF0481">
            <w:rPr>
              <w:rFonts w:eastAsiaTheme="minorHAnsi"/>
              <w:noProof/>
              <w:lang w:eastAsia="en-US"/>
            </w:rPr>
            <w:t xml:space="preserve"> </w:t>
          </w:r>
          <w:r w:rsidR="00CF0481" w:rsidRPr="00CF0481">
            <w:rPr>
              <w:rFonts w:eastAsiaTheme="minorHAnsi"/>
              <w:noProof/>
              <w:lang w:eastAsia="en-US"/>
            </w:rPr>
            <w:t>(Foucault, 2000)</w:t>
          </w:r>
          <w:r w:rsidR="004967BC">
            <w:rPr>
              <w:rFonts w:eastAsiaTheme="minorHAnsi"/>
              <w:lang w:eastAsia="en-US"/>
            </w:rPr>
            <w:fldChar w:fldCharType="end"/>
          </w:r>
        </w:sdtContent>
      </w:sdt>
      <w:r w:rsidR="00CF0481">
        <w:rPr>
          <w:rFonts w:eastAsiaTheme="minorHAnsi"/>
          <w:lang w:eastAsia="en-US"/>
        </w:rPr>
        <w:t xml:space="preserve"> </w:t>
      </w:r>
      <w:r>
        <w:rPr>
          <w:rFonts w:eastAsiaTheme="minorHAnsi"/>
          <w:lang w:eastAsia="en-US"/>
        </w:rPr>
        <w:t xml:space="preserve">y a la aparición del liberalismo como modelo de una nueva racionalidad de Estado o de gobierno en la Europa del siglo XIX y XX. De hecho, para Foucault, es el liberalismo el “punto de partida” el “marco general” de toda una organización biopolítica de la sociedad </w:t>
      </w:r>
      <w:sdt>
        <w:sdtPr>
          <w:rPr>
            <w:rFonts w:eastAsiaTheme="minorHAnsi"/>
            <w:lang w:eastAsia="en-US"/>
          </w:rPr>
          <w:id w:val="-1031029772"/>
          <w:citation/>
        </w:sdtPr>
        <w:sdtContent>
          <w:r w:rsidR="004967BC">
            <w:rPr>
              <w:rFonts w:eastAsiaTheme="minorHAnsi"/>
              <w:lang w:eastAsia="en-US"/>
            </w:rPr>
            <w:fldChar w:fldCharType="begin"/>
          </w:r>
          <w:r w:rsidR="009F69B0">
            <w:rPr>
              <w:rFonts w:eastAsiaTheme="minorHAnsi"/>
              <w:lang w:eastAsia="en-US"/>
            </w:rPr>
            <w:instrText xml:space="preserve">CITATION Mic07 \p 37 \t  \l 9226 </w:instrText>
          </w:r>
          <w:r w:rsidR="004967BC">
            <w:rPr>
              <w:rFonts w:eastAsiaTheme="minorHAnsi"/>
              <w:lang w:eastAsia="en-US"/>
            </w:rPr>
            <w:fldChar w:fldCharType="separate"/>
          </w:r>
          <w:r w:rsidR="009F69B0" w:rsidRPr="009F69B0">
            <w:rPr>
              <w:rFonts w:eastAsiaTheme="minorHAnsi"/>
              <w:noProof/>
              <w:lang w:eastAsia="en-US"/>
            </w:rPr>
            <w:t>(Foucault, 2007, pág. 37)</w:t>
          </w:r>
          <w:r w:rsidR="004967BC">
            <w:rPr>
              <w:rFonts w:eastAsiaTheme="minorHAnsi"/>
              <w:lang w:eastAsia="en-US"/>
            </w:rPr>
            <w:fldChar w:fldCharType="end"/>
          </w:r>
        </w:sdtContent>
      </w:sdt>
    </w:p>
    <w:p w:rsidR="00FF1C4A" w:rsidRPr="003F1867" w:rsidRDefault="003F1867" w:rsidP="003F1867">
      <w:pPr>
        <w:pStyle w:val="Ttulo3"/>
      </w:pPr>
      <w:bookmarkStart w:id="10" w:name="_Toc12899005"/>
      <w:r>
        <w:t xml:space="preserve">1.4 </w:t>
      </w:r>
      <w:r w:rsidR="00FF1C4A" w:rsidRPr="003F1867">
        <w:t>El liberalismo y la biopolítica</w:t>
      </w:r>
      <w:bookmarkEnd w:id="10"/>
      <w:r w:rsidR="00FF1C4A" w:rsidRPr="003F1867">
        <w:t xml:space="preserve"> </w:t>
      </w:r>
    </w:p>
    <w:p w:rsidR="00FF1C4A" w:rsidRDefault="00FF1C4A" w:rsidP="00FF1C4A">
      <w:pPr>
        <w:pStyle w:val="NormalWeb"/>
        <w:spacing w:line="360" w:lineRule="auto"/>
        <w:rPr>
          <w:rFonts w:eastAsiaTheme="minorHAnsi"/>
          <w:lang w:eastAsia="en-US"/>
        </w:rPr>
      </w:pPr>
      <w:r>
        <w:rPr>
          <w:rFonts w:eastAsiaTheme="minorHAnsi"/>
          <w:lang w:eastAsia="en-US"/>
        </w:rPr>
        <w:t xml:space="preserve">Lo que Foucault llama liberalismo es precisamente un nuevo tipo de racionalidad de Estado que inicia a tomar fuerza en los siglos XVIII y XIX. </w:t>
      </w:r>
      <w:r w:rsidRPr="003103DA">
        <w:rPr>
          <w:rFonts w:eastAsiaTheme="minorHAnsi"/>
          <w:lang w:eastAsia="en-US"/>
        </w:rPr>
        <w:t xml:space="preserve">Para el filósofo, el liberalismo es entendido como </w:t>
      </w:r>
      <w:r w:rsidRPr="00DB054D">
        <w:rPr>
          <w:rFonts w:eastAsiaTheme="minorHAnsi"/>
          <w:i/>
          <w:lang w:eastAsia="en-US"/>
        </w:rPr>
        <w:t xml:space="preserve">aquella acción del Estado </w:t>
      </w:r>
      <w:r>
        <w:rPr>
          <w:rFonts w:eastAsiaTheme="minorHAnsi"/>
          <w:i/>
          <w:lang w:eastAsia="en-US"/>
        </w:rPr>
        <w:t>que favorece el limitar “</w:t>
      </w:r>
      <w:r w:rsidRPr="003103DA">
        <w:rPr>
          <w:rFonts w:eastAsiaTheme="minorHAnsi"/>
          <w:lang w:eastAsia="en-US"/>
        </w:rPr>
        <w:t>al máximo las formas y los ámbitos de acción del gobierno”</w:t>
      </w:r>
      <w:sdt>
        <w:sdtPr>
          <w:rPr>
            <w:rFonts w:eastAsiaTheme="minorHAnsi"/>
            <w:lang w:eastAsia="en-US"/>
          </w:rPr>
          <w:id w:val="1929074948"/>
          <w:citation/>
        </w:sdtPr>
        <w:sdtContent>
          <w:r w:rsidR="004967BC">
            <w:rPr>
              <w:rFonts w:eastAsiaTheme="minorHAnsi"/>
              <w:lang w:eastAsia="en-US"/>
            </w:rPr>
            <w:fldChar w:fldCharType="begin"/>
          </w:r>
          <w:r w:rsidR="00DC3198">
            <w:rPr>
              <w:rFonts w:eastAsiaTheme="minorHAnsi"/>
              <w:lang w:eastAsia="en-US"/>
            </w:rPr>
            <w:instrText xml:space="preserve">CITATION Mic07 \p 36 \t  \l 9226 </w:instrText>
          </w:r>
          <w:r w:rsidR="004967BC">
            <w:rPr>
              <w:rFonts w:eastAsiaTheme="minorHAnsi"/>
              <w:lang w:eastAsia="en-US"/>
            </w:rPr>
            <w:fldChar w:fldCharType="separate"/>
          </w:r>
          <w:r w:rsidR="00DC3198">
            <w:rPr>
              <w:rFonts w:eastAsiaTheme="minorHAnsi"/>
              <w:noProof/>
              <w:lang w:eastAsia="en-US"/>
            </w:rPr>
            <w:t xml:space="preserve"> </w:t>
          </w:r>
          <w:r w:rsidR="00DC3198" w:rsidRPr="00DC3198">
            <w:rPr>
              <w:rFonts w:eastAsiaTheme="minorHAnsi"/>
              <w:noProof/>
              <w:lang w:eastAsia="en-US"/>
            </w:rPr>
            <w:t>(Foucault, 2007, pág. 36)</w:t>
          </w:r>
          <w:r w:rsidR="004967BC">
            <w:rPr>
              <w:rFonts w:eastAsiaTheme="minorHAnsi"/>
              <w:lang w:eastAsia="en-US"/>
            </w:rPr>
            <w:fldChar w:fldCharType="end"/>
          </w:r>
        </w:sdtContent>
      </w:sdt>
      <w:r>
        <w:rPr>
          <w:rFonts w:eastAsiaTheme="minorHAnsi"/>
          <w:lang w:eastAsia="en-US"/>
        </w:rPr>
        <w:t xml:space="preserve">. Sin embargo, las características del liberalismo son importantes para comprender su conexión con la biopolítica, en especial nos interesan dos: </w:t>
      </w:r>
    </w:p>
    <w:p w:rsidR="00FF1C4A" w:rsidRDefault="00FF1C4A" w:rsidP="00FF1C4A">
      <w:pPr>
        <w:pStyle w:val="NormalWeb"/>
        <w:spacing w:line="360" w:lineRule="auto"/>
        <w:rPr>
          <w:rFonts w:eastAsiaTheme="minorHAnsi"/>
          <w:lang w:eastAsia="en-US"/>
        </w:rPr>
      </w:pPr>
      <w:r w:rsidRPr="00D30313">
        <w:rPr>
          <w:rFonts w:eastAsiaTheme="minorHAnsi"/>
          <w:u w:val="single"/>
          <w:lang w:eastAsia="en-US"/>
        </w:rPr>
        <w:t xml:space="preserve">Un nuevo </w:t>
      </w:r>
      <w:r>
        <w:rPr>
          <w:rFonts w:eastAsiaTheme="minorHAnsi"/>
          <w:u w:val="single"/>
          <w:lang w:eastAsia="en-US"/>
        </w:rPr>
        <w:t xml:space="preserve">principio legitimador y un nuevo </w:t>
      </w:r>
      <w:r w:rsidRPr="00D30313">
        <w:rPr>
          <w:rFonts w:eastAsiaTheme="minorHAnsi"/>
          <w:u w:val="single"/>
          <w:lang w:eastAsia="en-US"/>
        </w:rPr>
        <w:t>régimen de verdad</w:t>
      </w:r>
      <w:r w:rsidRPr="003103DA">
        <w:rPr>
          <w:rFonts w:eastAsiaTheme="minorHAnsi"/>
          <w:lang w:eastAsia="en-US"/>
        </w:rPr>
        <w:t xml:space="preserve">: </w:t>
      </w:r>
      <w:r>
        <w:rPr>
          <w:rFonts w:eastAsiaTheme="minorHAnsi"/>
          <w:lang w:eastAsia="en-US"/>
        </w:rPr>
        <w:t xml:space="preserve">mientras que el principio limitador del poder soberano es jurídico (el respeto por la ley y el derecho de cada ciudadano) el principio limitador fundamental del liberalismo es otro. Aquí Foucault nos muestra de nuevo su interés en mostrar las relaciones entre saber y poder, ya que en el liberalismo las formas de control social están muy ligadas a formas de conocimiento, de esta forma, el principio limitador del gobierno se entienden como un tipo de saber organizados en lo que se llamará la ciencia de la </w:t>
      </w:r>
      <w:r>
        <w:rPr>
          <w:rFonts w:eastAsiaTheme="minorHAnsi"/>
          <w:lang w:eastAsia="en-US"/>
        </w:rPr>
        <w:lastRenderedPageBreak/>
        <w:t>economía política</w:t>
      </w:r>
      <w:sdt>
        <w:sdtPr>
          <w:rPr>
            <w:rFonts w:eastAsiaTheme="minorHAnsi"/>
            <w:lang w:eastAsia="en-US"/>
          </w:rPr>
          <w:id w:val="-697933108"/>
          <w:citation/>
        </w:sdtPr>
        <w:sdtContent>
          <w:r w:rsidR="004967BC">
            <w:rPr>
              <w:rFonts w:eastAsiaTheme="minorHAnsi"/>
              <w:lang w:eastAsia="en-US"/>
            </w:rPr>
            <w:fldChar w:fldCharType="begin"/>
          </w:r>
          <w:r w:rsidR="00686B78">
            <w:rPr>
              <w:rFonts w:eastAsiaTheme="minorHAnsi"/>
              <w:lang w:eastAsia="en-US"/>
            </w:rPr>
            <w:instrText xml:space="preserve">CITATION Mic07 \p 37 \t  \l 9226 </w:instrText>
          </w:r>
          <w:r w:rsidR="004967BC">
            <w:rPr>
              <w:rFonts w:eastAsiaTheme="minorHAnsi"/>
              <w:lang w:eastAsia="en-US"/>
            </w:rPr>
            <w:fldChar w:fldCharType="separate"/>
          </w:r>
          <w:r w:rsidR="00686B78">
            <w:rPr>
              <w:rFonts w:eastAsiaTheme="minorHAnsi"/>
              <w:noProof/>
              <w:lang w:eastAsia="en-US"/>
            </w:rPr>
            <w:t xml:space="preserve"> </w:t>
          </w:r>
          <w:r w:rsidR="00686B78" w:rsidRPr="00686B78">
            <w:rPr>
              <w:rFonts w:eastAsiaTheme="minorHAnsi"/>
              <w:noProof/>
              <w:lang w:eastAsia="en-US"/>
            </w:rPr>
            <w:t>(Foucault, 2007, pág. 37)</w:t>
          </w:r>
          <w:r w:rsidR="004967BC">
            <w:rPr>
              <w:rFonts w:eastAsiaTheme="minorHAnsi"/>
              <w:lang w:eastAsia="en-US"/>
            </w:rPr>
            <w:fldChar w:fldCharType="end"/>
          </w:r>
        </w:sdtContent>
      </w:sdt>
      <w:r>
        <w:rPr>
          <w:rFonts w:eastAsiaTheme="minorHAnsi"/>
          <w:lang w:eastAsia="en-US"/>
        </w:rPr>
        <w:t xml:space="preserve">. De esta manera, el gobierno intenta responder a esos supuestos hechos y verdades propios de esta disciplina o ciencia. Su propósito es entonces permitir que la naturalidad de los hechos económicos siga su curso. Se trata de un gobierno que se rige por unos principios generales y universales que se llevan a cabo en un nuevo régimen o ámbito que dicta lo verdadero, el ámbito del mercado. </w:t>
      </w:r>
      <w:r w:rsidR="00E0301F">
        <w:rPr>
          <w:rFonts w:eastAsiaTheme="minorHAnsi"/>
          <w:lang w:eastAsia="en-US"/>
        </w:rPr>
        <w:t>Para Foucault</w:t>
      </w:r>
      <w:sdt>
        <w:sdtPr>
          <w:rPr>
            <w:rFonts w:eastAsiaTheme="minorHAnsi"/>
            <w:lang w:eastAsia="en-US"/>
          </w:rPr>
          <w:id w:val="-1010602159"/>
          <w:citation/>
        </w:sdtPr>
        <w:sdtContent>
          <w:r w:rsidR="004967BC">
            <w:rPr>
              <w:rFonts w:eastAsiaTheme="minorHAnsi"/>
              <w:lang w:eastAsia="en-US"/>
            </w:rPr>
            <w:fldChar w:fldCharType="begin"/>
          </w:r>
          <w:r w:rsidR="00E0301F">
            <w:rPr>
              <w:rFonts w:eastAsiaTheme="minorHAnsi"/>
              <w:lang w:eastAsia="en-US"/>
            </w:rPr>
            <w:instrText xml:space="preserve">CITATION Mic07 \n  \t  \l 9226 </w:instrText>
          </w:r>
          <w:r w:rsidR="004967BC">
            <w:rPr>
              <w:rFonts w:eastAsiaTheme="minorHAnsi"/>
              <w:lang w:eastAsia="en-US"/>
            </w:rPr>
            <w:fldChar w:fldCharType="separate"/>
          </w:r>
          <w:r w:rsidR="00E0301F">
            <w:rPr>
              <w:rFonts w:eastAsiaTheme="minorHAnsi"/>
              <w:noProof/>
              <w:lang w:eastAsia="en-US"/>
            </w:rPr>
            <w:t xml:space="preserve"> </w:t>
          </w:r>
          <w:r w:rsidR="00E0301F" w:rsidRPr="00E0301F">
            <w:rPr>
              <w:rFonts w:eastAsiaTheme="minorHAnsi"/>
              <w:noProof/>
              <w:lang w:eastAsia="en-US"/>
            </w:rPr>
            <w:t>(2007)</w:t>
          </w:r>
          <w:r w:rsidR="004967BC">
            <w:rPr>
              <w:rFonts w:eastAsiaTheme="minorHAnsi"/>
              <w:lang w:eastAsia="en-US"/>
            </w:rPr>
            <w:fldChar w:fldCharType="end"/>
          </w:r>
        </w:sdtContent>
      </w:sdt>
      <w:r w:rsidR="00E0301F">
        <w:rPr>
          <w:rFonts w:eastAsiaTheme="minorHAnsi"/>
          <w:lang w:eastAsia="en-US"/>
        </w:rPr>
        <w:t xml:space="preserve"> e</w:t>
      </w:r>
      <w:r>
        <w:rPr>
          <w:rFonts w:eastAsiaTheme="minorHAnsi"/>
          <w:lang w:eastAsia="en-US"/>
        </w:rPr>
        <w:t xml:space="preserve">l propósito del acto de </w:t>
      </w:r>
      <w:r w:rsidR="00E0301F">
        <w:rPr>
          <w:rFonts w:eastAsiaTheme="minorHAnsi"/>
          <w:lang w:eastAsia="en-US"/>
        </w:rPr>
        <w:t>gobernar es entonces asegurar la:</w:t>
      </w:r>
    </w:p>
    <w:p w:rsidR="00FF1C4A" w:rsidRDefault="00E0301F" w:rsidP="00FF1C4A">
      <w:pPr>
        <w:pStyle w:val="Cita"/>
      </w:pPr>
      <w:r>
        <w:t>C</w:t>
      </w:r>
      <w:r w:rsidR="00FF1C4A" w:rsidRPr="001F57E9">
        <w:t>oherencia establecida por mecanismos inteligibles que ligan entre sí esas diferentes prácticas y sus efectos, y que permitirán, por consiguiente, juzgarlas como buenas o malas no en función de una ley o un principio moral, sino de proposiciones que, por su parte, estarán sometidas a la divis</w:t>
      </w:r>
      <w:r>
        <w:t>ión de lo verdadero y lo falso.</w:t>
      </w:r>
      <w:sdt>
        <w:sdtPr>
          <w:id w:val="-1825805399"/>
          <w:citation/>
        </w:sdtPr>
        <w:sdtContent>
          <w:r w:rsidR="004967BC">
            <w:fldChar w:fldCharType="begin"/>
          </w:r>
          <w:r>
            <w:instrText xml:space="preserve">CITATION Mic07 \p 33 \n  \y  \t  \l 9226 </w:instrText>
          </w:r>
          <w:r w:rsidR="004967BC">
            <w:fldChar w:fldCharType="separate"/>
          </w:r>
          <w:r>
            <w:rPr>
              <w:noProof/>
            </w:rPr>
            <w:t xml:space="preserve"> (pág. 33)</w:t>
          </w:r>
          <w:r w:rsidR="004967BC">
            <w:fldChar w:fldCharType="end"/>
          </w:r>
        </w:sdtContent>
      </w:sdt>
      <w:r w:rsidR="00FF1C4A">
        <w:t>.</w:t>
      </w:r>
    </w:p>
    <w:p w:rsidR="00FF1C4A" w:rsidRDefault="00FF1C4A" w:rsidP="00FF1C4A">
      <w:r>
        <w:t xml:space="preserve">Por lo cual se vio la necesidad de que Estado interviniera lo menos posible para que la misma sociedad lograra formular su propio orden. Se trata de intervenir, pero sólo para garantizar la naturalidad de los procesos del mercado. Se trata de garantizar la circulación de los productos, de atacar la escasez, de permitir la multiplicación y producción de los bienes, y se trata también de asegurar que los individuos ligados a esa naturalidad económica conserven ciertas características: su número, su salud, su disposición al trabajo. Se trata entonces de administrar una población y de asegurarse de su longevidad, de sus índices de mortalidad, de sus índices de natalidad, de su salud, etc. </w:t>
      </w:r>
      <w:bookmarkStart w:id="11" w:name="_GoBack"/>
      <w:bookmarkEnd w:id="11"/>
    </w:p>
    <w:p w:rsidR="00FF1C4A" w:rsidRDefault="00FF1C4A" w:rsidP="00FF1C4A">
      <w:r w:rsidRPr="00FF1C4A">
        <w:rPr>
          <w:u w:val="single"/>
        </w:rPr>
        <w:t>Liberalismo y libertad:</w:t>
      </w:r>
      <w:r>
        <w:rPr>
          <w:u w:val="single"/>
        </w:rPr>
        <w:t xml:space="preserve"> </w:t>
      </w:r>
      <w:r w:rsidRPr="00FF1C4A">
        <w:t xml:space="preserve">se trata también de garantizar que estos individuos envueltos en relaciones económicas tengan la suficiente libertad para alcanzar sus objetivos, se necesita de libertad económica, pero también </w:t>
      </w:r>
      <w:r>
        <w:t xml:space="preserve">se trata de </w:t>
      </w:r>
      <w:r w:rsidRPr="00FF1C4A">
        <w:t>libertad de expresión, se trata de derechos.</w:t>
      </w:r>
    </w:p>
    <w:p w:rsidR="00FF1C4A" w:rsidRDefault="00FF1C4A" w:rsidP="00FF1C4A">
      <w:r w:rsidRPr="003103DA">
        <w:t>El éxito del go</w:t>
      </w:r>
      <w:r>
        <w:t xml:space="preserve">bierno es respetar la libertad, </w:t>
      </w:r>
      <w:r w:rsidRPr="00DB054D">
        <w:rPr>
          <w:i/>
        </w:rPr>
        <w:t>“No respetar la libertad es no sólo cometer abusos de derecho con respecto a la ley, sino sobre todo no saber gobernar como es debido a la integración de las libertades y los limites propios a ellos dentro del campo de la práctica gubernamental es ahora un imperativo”.</w:t>
      </w:r>
      <w:sdt>
        <w:sdtPr>
          <w:id w:val="3780116"/>
          <w:citation/>
        </w:sdtPr>
        <w:sdtContent>
          <w:r w:rsidR="004967BC">
            <w:fldChar w:fldCharType="begin"/>
          </w:r>
          <w:r w:rsidR="00686B78">
            <w:instrText xml:space="preserve">CITATION Mic06 \p 202 \t  \l 9226 </w:instrText>
          </w:r>
          <w:r w:rsidR="004967BC">
            <w:fldChar w:fldCharType="separate"/>
          </w:r>
          <w:r w:rsidR="00686B78">
            <w:rPr>
              <w:noProof/>
            </w:rPr>
            <w:t xml:space="preserve"> </w:t>
          </w:r>
          <w:r w:rsidR="00686B78">
            <w:rPr>
              <w:noProof/>
            </w:rPr>
            <w:lastRenderedPageBreak/>
            <w:t>(Foucault, 2006, pág. 202)</w:t>
          </w:r>
          <w:r w:rsidR="004967BC">
            <w:fldChar w:fldCharType="end"/>
          </w:r>
        </w:sdtContent>
      </w:sdt>
      <w:r>
        <w:t xml:space="preserve">. Por tanto, para Foucault la libertad es un elemento principal en las sociedades de seguridad, debido a que esta adquiere otro valor puesto que lograr tener cierta autonomía de desplazarse en los procesos de circulación de la gente y de las cosas. Para el filósofo, la ideología de la libertad no se ve como </w:t>
      </w:r>
      <w:r>
        <w:rPr>
          <w:i/>
        </w:rPr>
        <w:t>“una de las condiciones del desarrollo de las formas modernas”</w:t>
      </w:r>
      <w:sdt>
        <w:sdtPr>
          <w:rPr>
            <w:i/>
          </w:rPr>
          <w:id w:val="-1125469547"/>
          <w:citation/>
        </w:sdtPr>
        <w:sdtContent>
          <w:r w:rsidR="004967BC">
            <w:rPr>
              <w:i/>
            </w:rPr>
            <w:fldChar w:fldCharType="begin"/>
          </w:r>
          <w:r w:rsidR="00686B78">
            <w:instrText xml:space="preserve">CITATION Mic06 \p 70 \t  \l 9226 </w:instrText>
          </w:r>
          <w:r w:rsidR="004967BC">
            <w:rPr>
              <w:i/>
            </w:rPr>
            <w:fldChar w:fldCharType="separate"/>
          </w:r>
          <w:r w:rsidR="00686B78">
            <w:rPr>
              <w:noProof/>
            </w:rPr>
            <w:t xml:space="preserve"> (Foucault, 2006, pág. 70)</w:t>
          </w:r>
          <w:r w:rsidR="004967BC">
            <w:rPr>
              <w:i/>
            </w:rPr>
            <w:fldChar w:fldCharType="end"/>
          </w:r>
        </w:sdtContent>
      </w:sdt>
      <w:r>
        <w:rPr>
          <w:i/>
        </w:rPr>
        <w:t xml:space="preserve">. </w:t>
      </w:r>
      <w:r>
        <w:t>Así que el liberalismo se ve en la necesidad de producir libertad, y también se ve en la obligación de administrarla</w:t>
      </w:r>
      <w:sdt>
        <w:sdtPr>
          <w:id w:val="-1506279462"/>
          <w:citation/>
        </w:sdtPr>
        <w:sdtContent>
          <w:r w:rsidR="004967BC">
            <w:fldChar w:fldCharType="begin"/>
          </w:r>
          <w:r w:rsidR="00686B78">
            <w:instrText xml:space="preserve">CITATION Mic07 \p 84 \t  \l 9226 </w:instrText>
          </w:r>
          <w:r w:rsidR="004967BC">
            <w:fldChar w:fldCharType="separate"/>
          </w:r>
          <w:r w:rsidR="00686B78">
            <w:rPr>
              <w:noProof/>
            </w:rPr>
            <w:t xml:space="preserve"> (Foucault, 2007, pág. 84)</w:t>
          </w:r>
          <w:r w:rsidR="004967BC">
            <w:fldChar w:fldCharType="end"/>
          </w:r>
        </w:sdtContent>
      </w:sdt>
      <w:r>
        <w:t xml:space="preserve"> </w:t>
      </w:r>
    </w:p>
    <w:p w:rsidR="00FF1C4A" w:rsidRDefault="00FF1C4A" w:rsidP="00FF1C4A">
      <w:pPr>
        <w:pStyle w:val="NormalWeb"/>
        <w:spacing w:line="360" w:lineRule="auto"/>
      </w:pPr>
      <w:r w:rsidRPr="00FF1C4A">
        <w:rPr>
          <w:rFonts w:eastAsiaTheme="minorHAnsi"/>
        </w:rPr>
        <w:t>Esta libertad no es solo de ideología, sino de</w:t>
      </w:r>
      <w:r>
        <w:rPr>
          <w:rFonts w:eastAsiaTheme="minorHAnsi"/>
        </w:rPr>
        <w:t xml:space="preserve"> una</w:t>
      </w:r>
      <w:r w:rsidRPr="00FF1C4A">
        <w:rPr>
          <w:rFonts w:eastAsiaTheme="minorHAnsi"/>
        </w:rPr>
        <w:t xml:space="preserve"> técnica de gobierno y para Foucault debe entenderse en “el interior de las mutaciones y transformaciones de las tecnologías de poder. Y de una manera más precisa y particular, la libertad no es</w:t>
      </w:r>
      <w:r>
        <w:rPr>
          <w:rFonts w:eastAsiaTheme="minorHAnsi"/>
          <w:i/>
          <w:lang w:eastAsia="en-US"/>
        </w:rPr>
        <w:t xml:space="preserve"> otra cosa que el correlato de la introducción de los dispositivos de seguridad” </w:t>
      </w:r>
      <w:sdt>
        <w:sdtPr>
          <w:rPr>
            <w:rFonts w:eastAsiaTheme="minorHAnsi"/>
            <w:i/>
            <w:lang w:eastAsia="en-US"/>
          </w:rPr>
          <w:id w:val="-1640944739"/>
          <w:citation/>
        </w:sdtPr>
        <w:sdtContent>
          <w:r w:rsidR="004967BC">
            <w:rPr>
              <w:rFonts w:eastAsiaTheme="minorHAnsi"/>
              <w:i/>
              <w:lang w:eastAsia="en-US"/>
            </w:rPr>
            <w:fldChar w:fldCharType="begin"/>
          </w:r>
          <w:r>
            <w:rPr>
              <w:rFonts w:eastAsiaTheme="minorHAnsi"/>
              <w:i/>
              <w:lang w:eastAsia="en-US"/>
            </w:rPr>
            <w:instrText xml:space="preserve">CITATION Mic06 \p 71 \l 9226 </w:instrText>
          </w:r>
          <w:r w:rsidR="004967BC">
            <w:rPr>
              <w:rFonts w:eastAsiaTheme="minorHAnsi"/>
              <w:i/>
              <w:lang w:eastAsia="en-US"/>
            </w:rPr>
            <w:fldChar w:fldCharType="separate"/>
          </w:r>
          <w:r w:rsidRPr="00ED6764">
            <w:rPr>
              <w:rFonts w:eastAsiaTheme="minorHAnsi"/>
              <w:noProof/>
              <w:lang w:eastAsia="en-US"/>
            </w:rPr>
            <w:t>(Foucault, Seguridad, territorio y poblaciòn, 2006, pág. 71)</w:t>
          </w:r>
          <w:r w:rsidR="004967BC">
            <w:rPr>
              <w:rFonts w:eastAsiaTheme="minorHAnsi"/>
              <w:i/>
              <w:lang w:eastAsia="en-US"/>
            </w:rPr>
            <w:fldChar w:fldCharType="end"/>
          </w:r>
        </w:sdtContent>
      </w:sdt>
      <w:r>
        <w:rPr>
          <w:rFonts w:eastAsiaTheme="minorHAnsi"/>
          <w:i/>
          <w:lang w:eastAsia="en-US"/>
        </w:rPr>
        <w:t xml:space="preserve">. </w:t>
      </w:r>
      <w:r w:rsidR="009F69B0">
        <w:rPr>
          <w:rFonts w:eastAsiaTheme="minorHAnsi"/>
        </w:rPr>
        <w:t>Es así como:</w:t>
      </w:r>
    </w:p>
    <w:p w:rsidR="00FF1C4A" w:rsidRDefault="009F69B0" w:rsidP="00FF1C4A">
      <w:pPr>
        <w:pStyle w:val="Cita"/>
      </w:pPr>
      <w:r>
        <w:t>E</w:t>
      </w:r>
      <w:r w:rsidR="00FF1C4A">
        <w:t xml:space="preserve">n el corazón mismo de esa práctica liberal se instaura una relación problemática, siempre diferente, siempre móvil entre la producción de la libertad y aquello que, al producirla, amenaza con limitarla y destruirla. El liberalismo, tal como yo lo entiendo, ese liberalismo que puede caracterizarse como el nuevo arte de gobernar conformado en el siglo </w:t>
      </w:r>
      <w:r w:rsidR="00FF1C4A">
        <w:rPr>
          <w:sz w:val="14"/>
          <w:szCs w:val="14"/>
        </w:rPr>
        <w:t xml:space="preserve">XVIII, </w:t>
      </w:r>
      <w:r w:rsidR="00FF1C4A">
        <w:t>implica en su esencia una relación de producción/destrucción [con]* la libertad [...]</w:t>
      </w:r>
      <w:r w:rsidR="005302A8">
        <w:t>. *</w:t>
      </w:r>
      <w:r w:rsidR="00FF1C4A">
        <w:t>* Es preciso por un lado producir la libertad, pero ese mismo gesto implica que, por otro, se establezcan limitaciones, controles, coerciones, obligaciones apoyadas en amenazas, etcétera.</w:t>
      </w:r>
      <w:sdt>
        <w:sdtPr>
          <w:id w:val="-628627081"/>
          <w:citation/>
        </w:sdtPr>
        <w:sdtContent>
          <w:r w:rsidR="004967BC">
            <w:fldChar w:fldCharType="begin"/>
          </w:r>
          <w:r>
            <w:instrText xml:space="preserve">CITATION Mic07 \t  \l 9226 </w:instrText>
          </w:r>
          <w:r w:rsidR="004967BC">
            <w:fldChar w:fldCharType="separate"/>
          </w:r>
          <w:r>
            <w:rPr>
              <w:noProof/>
            </w:rPr>
            <w:t xml:space="preserve"> (Foucault, 2007)</w:t>
          </w:r>
          <w:r w:rsidR="004967BC">
            <w:fldChar w:fldCharType="end"/>
          </w:r>
        </w:sdtContent>
      </w:sdt>
    </w:p>
    <w:p w:rsidR="00FF1C4A" w:rsidRDefault="00FF1C4A" w:rsidP="00FF1C4A">
      <w:pPr>
        <w:autoSpaceDE w:val="0"/>
        <w:autoSpaceDN w:val="0"/>
        <w:adjustRightInd w:val="0"/>
        <w:spacing w:before="0" w:after="0" w:line="240" w:lineRule="auto"/>
        <w:ind w:firstLine="0"/>
        <w:jc w:val="left"/>
        <w:rPr>
          <w:rFonts w:ascii="Garamond" w:hAnsi="Garamond" w:cs="Garamond"/>
          <w:sz w:val="20"/>
          <w:szCs w:val="20"/>
        </w:rPr>
      </w:pPr>
    </w:p>
    <w:p w:rsidR="00FF1C4A" w:rsidRDefault="00FF1C4A" w:rsidP="00FF1C4A">
      <w:pPr>
        <w:pStyle w:val="NormalWeb"/>
        <w:spacing w:line="360" w:lineRule="auto"/>
        <w:rPr>
          <w:rFonts w:eastAsiaTheme="minorHAnsi"/>
          <w:lang w:eastAsia="en-US"/>
        </w:rPr>
      </w:pPr>
      <w:r>
        <w:rPr>
          <w:rFonts w:eastAsiaTheme="minorHAnsi"/>
          <w:lang w:eastAsia="en-US"/>
        </w:rPr>
        <w:t xml:space="preserve">La introducción de esta relación problemática con la libertad es importante para nosotros, ya que Foucault dirá que el mecanismo que usa el liberalismo para producir la libertad, pero a su vez limitarla, es la noción de peligro. Con el propósito de entender las implicaciones de esta noción dentro del aparato del liberalismo </w:t>
      </w:r>
      <w:r>
        <w:rPr>
          <w:rFonts w:eastAsiaTheme="minorHAnsi"/>
          <w:lang w:eastAsia="en-US"/>
        </w:rPr>
        <w:lastRenderedPageBreak/>
        <w:t xml:space="preserve">vamos primero a intentar desarrollar un poco más la relación de la biopolítica con la vida y la muerte. </w:t>
      </w:r>
    </w:p>
    <w:p w:rsidR="00FF1C4A" w:rsidRDefault="00FF1C4A">
      <w:pPr>
        <w:spacing w:before="0" w:after="160" w:line="259" w:lineRule="auto"/>
        <w:ind w:firstLine="0"/>
        <w:jc w:val="left"/>
        <w:rPr>
          <w:rFonts w:cstheme="majorBidi"/>
          <w:b/>
          <w:sz w:val="36"/>
          <w:szCs w:val="26"/>
        </w:rPr>
      </w:pPr>
      <w:r>
        <w:br w:type="page"/>
      </w:r>
    </w:p>
    <w:p w:rsidR="003D5798" w:rsidRPr="003D5798" w:rsidRDefault="00013C27" w:rsidP="00013C27">
      <w:pPr>
        <w:pStyle w:val="Ttulo2"/>
        <w:rPr>
          <w:rFonts w:eastAsiaTheme="minorHAnsi"/>
        </w:rPr>
      </w:pPr>
      <w:bookmarkStart w:id="12" w:name="_Toc12899006"/>
      <w:r w:rsidRPr="003D5798">
        <w:rPr>
          <w:rFonts w:eastAsiaTheme="minorHAnsi"/>
        </w:rPr>
        <w:lastRenderedPageBreak/>
        <w:t>El concepto de vida y muerte</w:t>
      </w:r>
      <w:bookmarkEnd w:id="12"/>
    </w:p>
    <w:p w:rsidR="003D5798" w:rsidRPr="003D5798" w:rsidRDefault="003D5798" w:rsidP="003D5798">
      <w:pPr>
        <w:pStyle w:val="NormalWeb"/>
        <w:spacing w:line="360" w:lineRule="auto"/>
        <w:rPr>
          <w:rFonts w:eastAsiaTheme="minorHAnsi"/>
          <w:lang w:eastAsia="en-US"/>
        </w:rPr>
      </w:pPr>
      <w:r w:rsidRPr="003D5798">
        <w:rPr>
          <w:rFonts w:eastAsiaTheme="minorHAnsi"/>
          <w:lang w:eastAsia="en-US"/>
        </w:rPr>
        <w:t xml:space="preserve">Para poder llegar a la noción de peligro, es importante analizar la relación entre lo que </w:t>
      </w:r>
      <w:r w:rsidR="00FF1C4A">
        <w:rPr>
          <w:rFonts w:eastAsiaTheme="minorHAnsi"/>
          <w:lang w:eastAsia="en-US"/>
        </w:rPr>
        <w:t xml:space="preserve">es </w:t>
      </w:r>
      <w:r w:rsidRPr="003D5798">
        <w:rPr>
          <w:rFonts w:eastAsiaTheme="minorHAnsi"/>
          <w:lang w:eastAsia="en-US"/>
        </w:rPr>
        <w:t xml:space="preserve">la muerte en </w:t>
      </w:r>
      <w:r w:rsidR="00FF1C4A">
        <w:rPr>
          <w:rFonts w:eastAsiaTheme="minorHAnsi"/>
          <w:lang w:eastAsia="en-US"/>
        </w:rPr>
        <w:t xml:space="preserve">el ejercicio del poder </w:t>
      </w:r>
      <w:r w:rsidRPr="003D5798">
        <w:rPr>
          <w:rFonts w:eastAsiaTheme="minorHAnsi"/>
          <w:lang w:eastAsia="en-US"/>
        </w:rPr>
        <w:t>soberan</w:t>
      </w:r>
      <w:r w:rsidR="00FF1C4A">
        <w:rPr>
          <w:rFonts w:eastAsiaTheme="minorHAnsi"/>
          <w:lang w:eastAsia="en-US"/>
        </w:rPr>
        <w:t>o</w:t>
      </w:r>
      <w:r w:rsidRPr="003D5798">
        <w:rPr>
          <w:rFonts w:eastAsiaTheme="minorHAnsi"/>
          <w:lang w:eastAsia="en-US"/>
        </w:rPr>
        <w:t xml:space="preserve"> y lo que </w:t>
      </w:r>
      <w:r w:rsidR="00FF1C4A">
        <w:rPr>
          <w:rFonts w:eastAsiaTheme="minorHAnsi"/>
          <w:lang w:eastAsia="en-US"/>
        </w:rPr>
        <w:t xml:space="preserve">es </w:t>
      </w:r>
      <w:r w:rsidRPr="003D5798">
        <w:rPr>
          <w:rFonts w:eastAsiaTheme="minorHAnsi"/>
          <w:lang w:eastAsia="en-US"/>
        </w:rPr>
        <w:t xml:space="preserve">la muerte </w:t>
      </w:r>
      <w:r w:rsidR="00FF1C4A">
        <w:rPr>
          <w:rFonts w:eastAsiaTheme="minorHAnsi"/>
          <w:lang w:eastAsia="en-US"/>
        </w:rPr>
        <w:t xml:space="preserve">y la vida </w:t>
      </w:r>
      <w:r w:rsidRPr="003D5798">
        <w:rPr>
          <w:rFonts w:eastAsiaTheme="minorHAnsi"/>
          <w:lang w:eastAsia="en-US"/>
        </w:rPr>
        <w:t>en la biopolítica</w:t>
      </w:r>
      <w:r w:rsidR="00FF1C4A">
        <w:rPr>
          <w:rFonts w:eastAsiaTheme="minorHAnsi"/>
          <w:lang w:eastAsia="en-US"/>
        </w:rPr>
        <w:t>.</w:t>
      </w:r>
      <w:r w:rsidRPr="003D5798">
        <w:rPr>
          <w:rFonts w:eastAsiaTheme="minorHAnsi"/>
          <w:lang w:eastAsia="en-US"/>
        </w:rPr>
        <w:t xml:space="preserve"> </w:t>
      </w:r>
    </w:p>
    <w:p w:rsidR="00FF1C4A" w:rsidRDefault="003D5798" w:rsidP="00B50766">
      <w:pPr>
        <w:pStyle w:val="NormalWeb"/>
        <w:spacing w:line="360" w:lineRule="auto"/>
        <w:rPr>
          <w:rFonts w:eastAsiaTheme="minorHAnsi"/>
          <w:lang w:eastAsia="en-US"/>
        </w:rPr>
      </w:pPr>
      <w:r w:rsidRPr="003D5798">
        <w:rPr>
          <w:rFonts w:eastAsiaTheme="minorHAnsi"/>
          <w:lang w:eastAsia="en-US"/>
        </w:rPr>
        <w:t>En el primer capítulo se presentaron los tres tipos de sociedades o sistemas de poder, sus características y pr</w:t>
      </w:r>
      <w:r w:rsidR="00192E2A">
        <w:rPr>
          <w:rFonts w:eastAsiaTheme="minorHAnsi"/>
          <w:lang w:eastAsia="en-US"/>
        </w:rPr>
        <w:t>incipales diferencias, rastreada</w:t>
      </w:r>
      <w:r w:rsidRPr="003D5798">
        <w:rPr>
          <w:rFonts w:eastAsiaTheme="minorHAnsi"/>
          <w:lang w:eastAsia="en-US"/>
        </w:rPr>
        <w:t xml:space="preserve">s por </w:t>
      </w:r>
      <w:r w:rsidR="00192E2A">
        <w:rPr>
          <w:rFonts w:eastAsiaTheme="minorHAnsi"/>
          <w:lang w:eastAsia="en-US"/>
        </w:rPr>
        <w:t>el filósofo</w:t>
      </w:r>
      <w:r w:rsidRPr="003D5798">
        <w:rPr>
          <w:rFonts w:eastAsiaTheme="minorHAnsi"/>
          <w:lang w:eastAsia="en-US"/>
        </w:rPr>
        <w:t xml:space="preserve">. </w:t>
      </w:r>
      <w:r w:rsidR="00FF1C4A">
        <w:rPr>
          <w:rFonts w:eastAsiaTheme="minorHAnsi"/>
          <w:lang w:eastAsia="en-US"/>
        </w:rPr>
        <w:t xml:space="preserve">Vimos como la aparición de nuevas formas de poder dio nacimiento a las sociedades de control, y estas nos llevaron directamente a la biopolítica y al liberalismo. </w:t>
      </w:r>
    </w:p>
    <w:p w:rsidR="003D5798" w:rsidRDefault="00FF1C4A" w:rsidP="00B50766">
      <w:pPr>
        <w:pStyle w:val="NormalWeb"/>
        <w:spacing w:line="360" w:lineRule="auto"/>
        <w:rPr>
          <w:rFonts w:eastAsiaTheme="minorHAnsi"/>
          <w:lang w:eastAsia="en-US"/>
        </w:rPr>
      </w:pPr>
      <w:r>
        <w:rPr>
          <w:rFonts w:eastAsiaTheme="minorHAnsi"/>
          <w:lang w:eastAsia="en-US"/>
        </w:rPr>
        <w:t>E</w:t>
      </w:r>
      <w:r w:rsidR="003D5798" w:rsidRPr="003D5798">
        <w:rPr>
          <w:rFonts w:eastAsiaTheme="minorHAnsi"/>
          <w:lang w:eastAsia="en-US"/>
        </w:rPr>
        <w:t xml:space="preserve">l presente capitulo constará de dos apartados: El primero corresponderá al concepto de </w:t>
      </w:r>
      <w:r>
        <w:rPr>
          <w:rFonts w:eastAsiaTheme="minorHAnsi"/>
          <w:lang w:eastAsia="en-US"/>
        </w:rPr>
        <w:t xml:space="preserve">vida y muerte </w:t>
      </w:r>
      <w:r w:rsidR="003D5798" w:rsidRPr="003D5798">
        <w:rPr>
          <w:rFonts w:eastAsiaTheme="minorHAnsi"/>
          <w:lang w:eastAsia="en-US"/>
        </w:rPr>
        <w:t xml:space="preserve">en las sociedades de control y la biopolítica. </w:t>
      </w:r>
      <w:r w:rsidR="00B50766">
        <w:rPr>
          <w:rFonts w:eastAsiaTheme="minorHAnsi"/>
          <w:lang w:eastAsia="en-US"/>
        </w:rPr>
        <w:t>El segundo</w:t>
      </w:r>
      <w:r w:rsidR="003D5798" w:rsidRPr="003D5798">
        <w:rPr>
          <w:rFonts w:eastAsiaTheme="minorHAnsi"/>
          <w:lang w:eastAsia="en-US"/>
        </w:rPr>
        <w:t xml:space="preserve"> hará referencia al racismo, sus características principales, como este se </w:t>
      </w:r>
      <w:r w:rsidR="00B50766">
        <w:rPr>
          <w:rFonts w:eastAsiaTheme="minorHAnsi"/>
          <w:lang w:eastAsia="en-US"/>
        </w:rPr>
        <w:t xml:space="preserve">relaciona con la muerte y la vida, y </w:t>
      </w:r>
      <w:r w:rsidR="003D5798" w:rsidRPr="003D5798">
        <w:rPr>
          <w:rFonts w:eastAsiaTheme="minorHAnsi"/>
          <w:lang w:eastAsia="en-US"/>
        </w:rPr>
        <w:t>como este se ve representado en la biopolítica.</w:t>
      </w:r>
    </w:p>
    <w:p w:rsidR="003D5798" w:rsidRPr="00750C99" w:rsidRDefault="00DB054D" w:rsidP="004342EF">
      <w:pPr>
        <w:pStyle w:val="Ttulo3"/>
        <w:rPr>
          <w:rFonts w:eastAsiaTheme="minorHAnsi"/>
        </w:rPr>
      </w:pPr>
      <w:bookmarkStart w:id="13" w:name="_Toc12899007"/>
      <w:r>
        <w:rPr>
          <w:rFonts w:eastAsiaTheme="minorHAnsi"/>
        </w:rPr>
        <w:t xml:space="preserve">2.1 </w:t>
      </w:r>
      <w:r w:rsidR="003D5798" w:rsidRPr="00750C99">
        <w:rPr>
          <w:rFonts w:eastAsiaTheme="minorHAnsi"/>
        </w:rPr>
        <w:t>La vida y la muerte en las distintas sociedades</w:t>
      </w:r>
      <w:bookmarkEnd w:id="13"/>
    </w:p>
    <w:p w:rsidR="00FF1C4A" w:rsidRDefault="00FF1C4A" w:rsidP="00FF1C4A">
      <w:pPr>
        <w:pStyle w:val="NormalWeb"/>
        <w:spacing w:line="360" w:lineRule="auto"/>
        <w:rPr>
          <w:rFonts w:eastAsiaTheme="minorHAnsi"/>
          <w:lang w:eastAsia="en-US"/>
        </w:rPr>
      </w:pPr>
      <w:r>
        <w:rPr>
          <w:rFonts w:eastAsiaTheme="minorHAnsi"/>
          <w:lang w:eastAsia="en-US"/>
        </w:rPr>
        <w:t>E</w:t>
      </w:r>
      <w:r w:rsidRPr="003103DA">
        <w:rPr>
          <w:rFonts w:eastAsiaTheme="minorHAnsi"/>
          <w:lang w:eastAsia="en-US"/>
        </w:rPr>
        <w:t xml:space="preserve">n el sistema </w:t>
      </w:r>
      <w:r>
        <w:rPr>
          <w:rFonts w:eastAsiaTheme="minorHAnsi"/>
          <w:lang w:eastAsia="en-US"/>
        </w:rPr>
        <w:t xml:space="preserve">de poder </w:t>
      </w:r>
      <w:r w:rsidRPr="003103DA">
        <w:rPr>
          <w:rFonts w:eastAsiaTheme="minorHAnsi"/>
          <w:lang w:eastAsia="en-US"/>
        </w:rPr>
        <w:t xml:space="preserve">soberano </w:t>
      </w:r>
      <w:r>
        <w:rPr>
          <w:rFonts w:eastAsiaTheme="minorHAnsi"/>
          <w:lang w:eastAsia="en-US"/>
        </w:rPr>
        <w:t>la muerte era vista como una consecuencia del castigo, y como una manifestación activa del poder. Es decir, el poder soberano hace morir, mata. Sin embargo, su relación con la vida es de alguna forma de indiferencia, el poder soberano deja vivir. El poder soberano tiene entonces una relación directa con la muerte.</w:t>
      </w:r>
    </w:p>
    <w:p w:rsidR="00FF1C4A" w:rsidRPr="005302A8" w:rsidRDefault="00FF1C4A" w:rsidP="00FF1C4A">
      <w:pPr>
        <w:pStyle w:val="Cita"/>
        <w:rPr>
          <w:sz w:val="22"/>
        </w:rPr>
      </w:pPr>
      <w:r w:rsidRPr="005302A8">
        <w:rPr>
          <w:sz w:val="22"/>
        </w:rPr>
        <w:t>Se trata, fundamentalmente, de un derecho de la espada. No hay en él, por lo tanto, una simetría real. No es el derecho de hacer morir o hacer vivir. No es tampoco el derecho de dejar vivir y dejar morir. Es el derecho de hacer morir o dejar vivir. Lo cual, desde luego, introduce una disimetría clamorosa</w:t>
      </w:r>
      <w:sdt>
        <w:sdtPr>
          <w:rPr>
            <w:sz w:val="22"/>
          </w:rPr>
          <w:id w:val="3780108"/>
          <w:citation/>
        </w:sdtPr>
        <w:sdtContent>
          <w:r w:rsidR="004967BC" w:rsidRPr="005302A8">
            <w:rPr>
              <w:sz w:val="22"/>
            </w:rPr>
            <w:fldChar w:fldCharType="begin"/>
          </w:r>
          <w:r w:rsidR="005302A8" w:rsidRPr="005302A8">
            <w:rPr>
              <w:sz w:val="22"/>
            </w:rPr>
            <w:instrText xml:space="preserve">CITATION Mic00 \t  \l 9226 </w:instrText>
          </w:r>
          <w:r w:rsidR="004967BC" w:rsidRPr="005302A8">
            <w:rPr>
              <w:sz w:val="22"/>
            </w:rPr>
            <w:fldChar w:fldCharType="separate"/>
          </w:r>
          <w:r w:rsidR="005302A8" w:rsidRPr="005302A8">
            <w:rPr>
              <w:noProof/>
              <w:sz w:val="22"/>
            </w:rPr>
            <w:t xml:space="preserve"> (Foucault, 2000)</w:t>
          </w:r>
          <w:r w:rsidR="004967BC" w:rsidRPr="005302A8">
            <w:rPr>
              <w:sz w:val="22"/>
            </w:rPr>
            <w:fldChar w:fldCharType="end"/>
          </w:r>
        </w:sdtContent>
      </w:sdt>
      <w:r w:rsidRPr="005302A8">
        <w:rPr>
          <w:sz w:val="22"/>
        </w:rPr>
        <w:t xml:space="preserve"> </w:t>
      </w:r>
    </w:p>
    <w:p w:rsidR="00C06641" w:rsidRDefault="00C06641" w:rsidP="003D5798">
      <w:pPr>
        <w:pStyle w:val="NormalWeb"/>
        <w:spacing w:line="360" w:lineRule="auto"/>
        <w:rPr>
          <w:rFonts w:eastAsiaTheme="minorHAnsi"/>
          <w:lang w:eastAsia="en-US"/>
        </w:rPr>
      </w:pPr>
    </w:p>
    <w:p w:rsidR="003D5798" w:rsidRPr="003D5798" w:rsidRDefault="003D5798" w:rsidP="003D5798">
      <w:pPr>
        <w:pStyle w:val="NormalWeb"/>
        <w:spacing w:line="360" w:lineRule="auto"/>
        <w:rPr>
          <w:rFonts w:eastAsiaTheme="minorHAnsi"/>
          <w:lang w:eastAsia="en-US"/>
        </w:rPr>
      </w:pPr>
      <w:r w:rsidRPr="003D5798">
        <w:rPr>
          <w:rFonts w:eastAsiaTheme="minorHAnsi"/>
          <w:lang w:eastAsia="en-US"/>
        </w:rPr>
        <w:lastRenderedPageBreak/>
        <w:t>Entendiendo que la línea entre la vida y la muerte se encontraba bastante definida, puesto que el Rey o soberano era quien definía o decretaba quien y como morir (si era el caso, entendiendo que no todos los delitos terminaban con la m</w:t>
      </w:r>
      <w:r w:rsidR="00EF3AB7">
        <w:rPr>
          <w:rFonts w:eastAsiaTheme="minorHAnsi"/>
          <w:lang w:eastAsia="en-US"/>
        </w:rPr>
        <w:t>uerte del sujeto), en resumidas</w:t>
      </w:r>
      <w:r w:rsidRPr="003D5798">
        <w:rPr>
          <w:rFonts w:eastAsiaTheme="minorHAnsi"/>
          <w:lang w:eastAsia="en-US"/>
        </w:rPr>
        <w:t xml:space="preserve"> la muerte estaba co</w:t>
      </w:r>
      <w:r w:rsidR="00EF3AB7">
        <w:rPr>
          <w:rFonts w:eastAsiaTheme="minorHAnsi"/>
          <w:lang w:eastAsia="en-US"/>
        </w:rPr>
        <w:t>ndicionada a un soberano, p</w:t>
      </w:r>
      <w:r w:rsidRPr="003D5798">
        <w:rPr>
          <w:rFonts w:eastAsiaTheme="minorHAnsi"/>
          <w:lang w:eastAsia="en-US"/>
        </w:rPr>
        <w:t>artiendo de que este tipo de sociedades se aplicaba “hacer</w:t>
      </w:r>
      <w:r w:rsidR="00EF3AB7">
        <w:rPr>
          <w:rFonts w:eastAsiaTheme="minorHAnsi"/>
          <w:lang w:eastAsia="en-US"/>
        </w:rPr>
        <w:t xml:space="preserve"> vivir y dejar morir”. Foucault</w:t>
      </w:r>
      <w:r w:rsidRPr="003D5798">
        <w:rPr>
          <w:rFonts w:eastAsiaTheme="minorHAnsi"/>
          <w:lang w:eastAsia="en-US"/>
        </w:rPr>
        <w:t xml:space="preserve"> lo interpreta </w:t>
      </w:r>
      <w:r w:rsidR="007957EF">
        <w:rPr>
          <w:rFonts w:eastAsiaTheme="minorHAnsi"/>
          <w:lang w:eastAsia="en-US"/>
        </w:rPr>
        <w:t>así:</w:t>
      </w:r>
      <w:r w:rsidR="007957EF" w:rsidRPr="00334C5C">
        <w:rPr>
          <w:rFonts w:eastAsiaTheme="minorHAnsi"/>
          <w:i/>
          <w:lang w:eastAsia="en-US"/>
        </w:rPr>
        <w:t xml:space="preserve"> </w:t>
      </w:r>
      <w:r w:rsidRPr="00334C5C">
        <w:rPr>
          <w:rFonts w:eastAsiaTheme="minorHAnsi"/>
          <w:i/>
          <w:lang w:eastAsia="en-US"/>
        </w:rPr>
        <w:t xml:space="preserve">“En cierto sentido, decir que el soberano tiene derecho de vida y de muerte significa, en el fondo, que puede hacer morir y dejar vivir; en todo caso, que la vida y la muerte no son esos fenómenos naturales, inmediatos, en cierto modo originarios o radicales, que están fuera del campo del poder político.” </w:t>
      </w:r>
      <w:sdt>
        <w:sdtPr>
          <w:rPr>
            <w:rFonts w:eastAsiaTheme="minorHAnsi"/>
            <w:lang w:eastAsia="en-US"/>
          </w:rPr>
          <w:id w:val="3780122"/>
          <w:citation/>
        </w:sdtPr>
        <w:sdtContent>
          <w:r w:rsidR="004967BC">
            <w:rPr>
              <w:rFonts w:eastAsiaTheme="minorHAnsi"/>
              <w:lang w:eastAsia="en-US"/>
            </w:rPr>
            <w:fldChar w:fldCharType="begin"/>
          </w:r>
          <w:r w:rsidR="005302A8">
            <w:rPr>
              <w:rFonts w:eastAsiaTheme="minorHAnsi"/>
              <w:lang w:eastAsia="en-US"/>
            </w:rPr>
            <w:instrText xml:space="preserve">CITATION Mic00 \p 218 \t  \l 9226 </w:instrText>
          </w:r>
          <w:r w:rsidR="004967BC">
            <w:rPr>
              <w:rFonts w:eastAsiaTheme="minorHAnsi"/>
              <w:lang w:eastAsia="en-US"/>
            </w:rPr>
            <w:fldChar w:fldCharType="separate"/>
          </w:r>
          <w:r w:rsidR="005302A8" w:rsidRPr="005302A8">
            <w:rPr>
              <w:rFonts w:eastAsiaTheme="minorHAnsi"/>
              <w:noProof/>
              <w:lang w:eastAsia="en-US"/>
            </w:rPr>
            <w:t>(Foucault, 2000, pág. 218)</w:t>
          </w:r>
          <w:r w:rsidR="004967BC">
            <w:rPr>
              <w:rFonts w:eastAsiaTheme="minorHAnsi"/>
              <w:lang w:eastAsia="en-US"/>
            </w:rPr>
            <w:fldChar w:fldCharType="end"/>
          </w:r>
        </w:sdtContent>
      </w:sdt>
    </w:p>
    <w:p w:rsidR="00750C99" w:rsidRPr="003D5798" w:rsidRDefault="003D5798" w:rsidP="003D5798">
      <w:pPr>
        <w:pStyle w:val="NormalWeb"/>
        <w:spacing w:line="360" w:lineRule="auto"/>
        <w:rPr>
          <w:rFonts w:eastAsiaTheme="minorHAnsi"/>
          <w:lang w:eastAsia="en-US"/>
        </w:rPr>
      </w:pPr>
      <w:r w:rsidRPr="003D5798">
        <w:rPr>
          <w:rFonts w:eastAsiaTheme="minorHAnsi"/>
          <w:lang w:eastAsia="en-US"/>
        </w:rPr>
        <w:t xml:space="preserve">El poder en este tipo de sociedades alteraba el ritmo normal de </w:t>
      </w:r>
      <w:r w:rsidR="00FF1C4A">
        <w:rPr>
          <w:rFonts w:eastAsiaTheme="minorHAnsi"/>
          <w:lang w:eastAsia="en-US"/>
        </w:rPr>
        <w:t xml:space="preserve">los </w:t>
      </w:r>
      <w:r w:rsidRPr="003D5798">
        <w:rPr>
          <w:rFonts w:eastAsiaTheme="minorHAnsi"/>
          <w:lang w:eastAsia="en-US"/>
        </w:rPr>
        <w:t>fenómenos</w:t>
      </w:r>
      <w:r w:rsidR="00FF1C4A">
        <w:rPr>
          <w:rFonts w:eastAsiaTheme="minorHAnsi"/>
          <w:lang w:eastAsia="en-US"/>
        </w:rPr>
        <w:t xml:space="preserve"> vitales</w:t>
      </w:r>
      <w:r w:rsidRPr="003D5798">
        <w:rPr>
          <w:rFonts w:eastAsiaTheme="minorHAnsi"/>
          <w:lang w:eastAsia="en-US"/>
        </w:rPr>
        <w:t xml:space="preserve">, entendiendo que el poder se interpretaba más como una captación, </w:t>
      </w:r>
      <w:r w:rsidRPr="00334C5C">
        <w:rPr>
          <w:rFonts w:eastAsiaTheme="minorHAnsi"/>
          <w:i/>
          <w:lang w:eastAsia="en-US"/>
        </w:rPr>
        <w:t>“de las cosas, del tiempo, los cuerpos y finalmente la vida; culminaba en el privilegio de apoderarse de ésta para suprimirla”</w:t>
      </w:r>
      <w:sdt>
        <w:sdtPr>
          <w:rPr>
            <w:rFonts w:eastAsiaTheme="minorHAnsi"/>
            <w:lang w:eastAsia="en-US"/>
          </w:rPr>
          <w:id w:val="3780123"/>
          <w:citation/>
        </w:sdtPr>
        <w:sdtContent>
          <w:r w:rsidR="004967BC">
            <w:rPr>
              <w:rFonts w:eastAsiaTheme="minorHAnsi"/>
              <w:lang w:eastAsia="en-US"/>
            </w:rPr>
            <w:fldChar w:fldCharType="begin"/>
          </w:r>
          <w:r w:rsidR="005302A8">
            <w:rPr>
              <w:rFonts w:eastAsiaTheme="minorHAnsi"/>
              <w:lang w:eastAsia="en-US"/>
            </w:rPr>
            <w:instrText xml:space="preserve">CITATION Mic07 \p 164 \t  \l 9226 </w:instrText>
          </w:r>
          <w:r w:rsidR="004967BC">
            <w:rPr>
              <w:rFonts w:eastAsiaTheme="minorHAnsi"/>
              <w:lang w:eastAsia="en-US"/>
            </w:rPr>
            <w:fldChar w:fldCharType="separate"/>
          </w:r>
          <w:r w:rsidR="005302A8">
            <w:rPr>
              <w:rFonts w:eastAsiaTheme="minorHAnsi"/>
              <w:noProof/>
              <w:lang w:eastAsia="en-US"/>
            </w:rPr>
            <w:t xml:space="preserve"> </w:t>
          </w:r>
          <w:r w:rsidR="005302A8" w:rsidRPr="005302A8">
            <w:rPr>
              <w:rFonts w:eastAsiaTheme="minorHAnsi"/>
              <w:noProof/>
              <w:lang w:eastAsia="en-US"/>
            </w:rPr>
            <w:t>(Foucault, 2007, pág. 164)</w:t>
          </w:r>
          <w:r w:rsidR="004967BC">
            <w:rPr>
              <w:rFonts w:eastAsiaTheme="minorHAnsi"/>
              <w:lang w:eastAsia="en-US"/>
            </w:rPr>
            <w:fldChar w:fldCharType="end"/>
          </w:r>
        </w:sdtContent>
      </w:sdt>
      <w:r w:rsidR="007957EF">
        <w:rPr>
          <w:rFonts w:eastAsiaTheme="minorHAnsi"/>
          <w:lang w:eastAsia="en-US"/>
        </w:rPr>
        <w:t>.</w:t>
      </w:r>
      <w:r w:rsidR="00EF3AB7">
        <w:rPr>
          <w:rFonts w:eastAsiaTheme="minorHAnsi"/>
          <w:lang w:eastAsia="en-US"/>
        </w:rPr>
        <w:t xml:space="preserve"> En esa medida</w:t>
      </w:r>
      <w:r w:rsidRPr="003D5798">
        <w:rPr>
          <w:rFonts w:eastAsiaTheme="minorHAnsi"/>
          <w:lang w:eastAsia="en-US"/>
        </w:rPr>
        <w:t xml:space="preserve"> el objetivo principal del poder en la soberanía</w:t>
      </w:r>
      <w:r w:rsidR="00FF1C4A">
        <w:rPr>
          <w:rFonts w:eastAsiaTheme="minorHAnsi"/>
          <w:lang w:eastAsia="en-US"/>
        </w:rPr>
        <w:t xml:space="preserve"> </w:t>
      </w:r>
      <w:r w:rsidRPr="003D5798">
        <w:rPr>
          <w:rFonts w:eastAsiaTheme="minorHAnsi"/>
          <w:lang w:eastAsia="en-US"/>
        </w:rPr>
        <w:t xml:space="preserve">buscaba reforzar, creando temor y respeto al soberano, que exigía su derecho a </w:t>
      </w:r>
      <w:r w:rsidR="00FF1C4A">
        <w:rPr>
          <w:rFonts w:eastAsiaTheme="minorHAnsi"/>
          <w:lang w:eastAsia="en-US"/>
        </w:rPr>
        <w:t xml:space="preserve">brindar castigo, </w:t>
      </w:r>
      <w:r w:rsidRPr="00334C5C">
        <w:rPr>
          <w:rFonts w:eastAsiaTheme="minorHAnsi"/>
          <w:i/>
          <w:lang w:eastAsia="en-US"/>
        </w:rPr>
        <w:t>“la voluntad de preferir la vida a la muerte: esto va a fundar la soberanía, una soberanía que es tan jurídica y legítima como la constituida según el modelo de la institución y el acuerdo mutuo.”</w:t>
      </w:r>
      <w:r w:rsidR="00750C99">
        <w:rPr>
          <w:rFonts w:eastAsiaTheme="minorHAnsi"/>
          <w:lang w:eastAsia="en-US"/>
        </w:rPr>
        <w:t xml:space="preserve"> </w:t>
      </w:r>
      <w:sdt>
        <w:sdtPr>
          <w:rPr>
            <w:rFonts w:eastAsiaTheme="minorHAnsi"/>
            <w:lang w:eastAsia="en-US"/>
          </w:rPr>
          <w:id w:val="3780124"/>
          <w:citation/>
        </w:sdtPr>
        <w:sdtContent>
          <w:r w:rsidR="004967BC">
            <w:rPr>
              <w:rFonts w:eastAsiaTheme="minorHAnsi"/>
              <w:lang w:eastAsia="en-US"/>
            </w:rPr>
            <w:fldChar w:fldCharType="begin"/>
          </w:r>
          <w:r w:rsidR="005302A8">
            <w:rPr>
              <w:rFonts w:eastAsiaTheme="minorHAnsi"/>
              <w:lang w:eastAsia="en-US"/>
            </w:rPr>
            <w:instrText xml:space="preserve">CITATION Mic00 \p 94 \t  \l 9226 </w:instrText>
          </w:r>
          <w:r w:rsidR="004967BC">
            <w:rPr>
              <w:rFonts w:eastAsiaTheme="minorHAnsi"/>
              <w:lang w:eastAsia="en-US"/>
            </w:rPr>
            <w:fldChar w:fldCharType="separate"/>
          </w:r>
          <w:r w:rsidR="005302A8" w:rsidRPr="005302A8">
            <w:rPr>
              <w:rFonts w:eastAsiaTheme="minorHAnsi"/>
              <w:noProof/>
              <w:lang w:eastAsia="en-US"/>
            </w:rPr>
            <w:t>(Foucault, 2000, pág. 94)</w:t>
          </w:r>
          <w:r w:rsidR="004967BC">
            <w:rPr>
              <w:rFonts w:eastAsiaTheme="minorHAnsi"/>
              <w:lang w:eastAsia="en-US"/>
            </w:rPr>
            <w:fldChar w:fldCharType="end"/>
          </w:r>
        </w:sdtContent>
      </w:sdt>
    </w:p>
    <w:p w:rsidR="00FF1C4A" w:rsidRDefault="00FF1C4A" w:rsidP="00FF1C4A">
      <w:pPr>
        <w:spacing w:before="100" w:beforeAutospacing="1" w:after="100" w:afterAutospacing="1"/>
        <w:rPr>
          <w:rFonts w:cs="Times New Roman"/>
          <w:szCs w:val="24"/>
        </w:rPr>
      </w:pPr>
      <w:r>
        <w:rPr>
          <w:rFonts w:cs="Times New Roman"/>
          <w:szCs w:val="24"/>
        </w:rPr>
        <w:t>Con la llegada de las sociedades de control fundadas en el tipo de poder biopolítico, la relación del poder con la vida y la muerte cambia drásticamente. El propósito del poder biopolítico como lo hemos visto es producir y proteger la vida. Así que la indiferencia de la soberanía sobre la vida se quiebra. La biopolítica “no deja vivir”, sino que produce la vida, la estimula, la hace: “hacer vivir”.</w:t>
      </w:r>
    </w:p>
    <w:p w:rsidR="00FF1C4A" w:rsidRDefault="00FF1C4A" w:rsidP="00FF1C4A">
      <w:pPr>
        <w:spacing w:before="100" w:beforeAutospacing="1" w:after="100" w:afterAutospacing="1"/>
        <w:rPr>
          <w:rFonts w:cs="Times New Roman"/>
          <w:szCs w:val="24"/>
        </w:rPr>
      </w:pPr>
      <w:r>
        <w:rPr>
          <w:rFonts w:cs="Times New Roman"/>
          <w:szCs w:val="24"/>
        </w:rPr>
        <w:t xml:space="preserve">En cambio, la muerte es vista de forma diferente a un castigo o un derecho del soberano sobre sus súbditos. </w:t>
      </w:r>
      <w:r w:rsidRPr="00FF1C4A">
        <w:rPr>
          <w:rFonts w:cs="Times New Roman"/>
          <w:szCs w:val="24"/>
        </w:rPr>
        <w:t xml:space="preserve">Por ejemplo: En la Edad Media las epidemias atacaron principalmente los poderes políticos. A finales del siglo XVIII pasaron a llamarse endemias (procesos patológicos que se presentan temporalmente en una población). La enfermedad empezó a ser vista como fenómeno de población </w:t>
      </w:r>
      <w:r w:rsidRPr="00FF1C4A">
        <w:rPr>
          <w:rFonts w:cs="Times New Roman"/>
          <w:i/>
          <w:szCs w:val="24"/>
        </w:rPr>
        <w:t xml:space="preserve">“ya no </w:t>
      </w:r>
      <w:r w:rsidRPr="00FF1C4A">
        <w:rPr>
          <w:rFonts w:cs="Times New Roman"/>
          <w:i/>
          <w:szCs w:val="24"/>
        </w:rPr>
        <w:lastRenderedPageBreak/>
        <w:t xml:space="preserve">como un la muerte que se abate brutalmente sobra la vida-la epidemia- sino como la muerte permanente, que se desliza en la vida, la carcome constantemente, la disminuye y la debilita”, </w:t>
      </w:r>
      <w:sdt>
        <w:sdtPr>
          <w:rPr>
            <w:rFonts w:cs="Times New Roman"/>
            <w:szCs w:val="24"/>
          </w:rPr>
          <w:id w:val="3780119"/>
          <w:citation/>
        </w:sdtPr>
        <w:sdtContent>
          <w:r w:rsidR="004967BC" w:rsidRPr="00FF1C4A">
            <w:rPr>
              <w:rFonts w:cs="Times New Roman"/>
              <w:szCs w:val="24"/>
            </w:rPr>
            <w:fldChar w:fldCharType="begin"/>
          </w:r>
          <w:r w:rsidR="005302A8">
            <w:rPr>
              <w:rFonts w:cs="Times New Roman"/>
              <w:szCs w:val="24"/>
            </w:rPr>
            <w:instrText xml:space="preserve">CITATION Mic00 \p 220 \t  \l 9226 </w:instrText>
          </w:r>
          <w:r w:rsidR="004967BC" w:rsidRPr="00FF1C4A">
            <w:rPr>
              <w:rFonts w:cs="Times New Roman"/>
              <w:szCs w:val="24"/>
            </w:rPr>
            <w:fldChar w:fldCharType="separate"/>
          </w:r>
          <w:r w:rsidR="005302A8" w:rsidRPr="005302A8">
            <w:rPr>
              <w:rFonts w:cs="Times New Roman"/>
              <w:noProof/>
              <w:szCs w:val="24"/>
            </w:rPr>
            <w:t>(Foucault, 2000, pág. 220)</w:t>
          </w:r>
          <w:r w:rsidR="004967BC" w:rsidRPr="00FF1C4A">
            <w:rPr>
              <w:rFonts w:cs="Times New Roman"/>
              <w:szCs w:val="24"/>
            </w:rPr>
            <w:fldChar w:fldCharType="end"/>
          </w:r>
        </w:sdtContent>
      </w:sdt>
      <w:r>
        <w:rPr>
          <w:rFonts w:cs="Times New Roman"/>
          <w:szCs w:val="24"/>
        </w:rPr>
        <w:t>. Así, la muerte es vista más como un proceso natural que debe ocurrir, la idea entonces no es “hacer morir”, sino “dejar morir”.</w:t>
      </w:r>
    </w:p>
    <w:p w:rsidR="00FF1C4A" w:rsidRPr="005302A8" w:rsidRDefault="00FF1C4A" w:rsidP="00FF1C4A">
      <w:pPr>
        <w:pStyle w:val="Cita"/>
        <w:rPr>
          <w:sz w:val="22"/>
        </w:rPr>
      </w:pPr>
      <w:r w:rsidRPr="005302A8">
        <w:rPr>
          <w:sz w:val="22"/>
        </w:rPr>
        <w:t xml:space="preserve">El hombre occidental aprende poco a poco en qué consiste ser una especie viviente en un mundo viviente, tener un cuerpo, condiciones de existencia, probabilidades de vida, salud individual o colectiva, fuerzas que es posible modificar y un espacio donde repartirlas de manera óptima. [...] lo biológico se refleja en lo político; El hecho de vivir ya no es un basamento inaccesible que sólo emerge de tiempo en tiempo, en el azar de la muerte y su fatalidad; pasa en parte al campo de control del saber y de intervención del poder.” </w:t>
      </w:r>
      <w:sdt>
        <w:sdtPr>
          <w:rPr>
            <w:sz w:val="22"/>
          </w:rPr>
          <w:id w:val="87507878"/>
          <w:citation/>
        </w:sdtPr>
        <w:sdtContent>
          <w:r w:rsidR="004967BC" w:rsidRPr="005302A8">
            <w:rPr>
              <w:sz w:val="22"/>
            </w:rPr>
            <w:fldChar w:fldCharType="begin"/>
          </w:r>
          <w:r w:rsidR="00D71325">
            <w:rPr>
              <w:sz w:val="22"/>
            </w:rPr>
            <w:instrText xml:space="preserve">CITATION Mic01 \t  \l 9226 </w:instrText>
          </w:r>
          <w:r w:rsidR="004967BC" w:rsidRPr="005302A8">
            <w:rPr>
              <w:sz w:val="22"/>
            </w:rPr>
            <w:fldChar w:fldCharType="separate"/>
          </w:r>
          <w:r w:rsidR="00D71325" w:rsidRPr="00D71325">
            <w:rPr>
              <w:noProof/>
              <w:sz w:val="22"/>
            </w:rPr>
            <w:t>(Foucault M. , 2001)</w:t>
          </w:r>
          <w:r w:rsidR="004967BC" w:rsidRPr="005302A8">
            <w:rPr>
              <w:sz w:val="22"/>
            </w:rPr>
            <w:fldChar w:fldCharType="end"/>
          </w:r>
        </w:sdtContent>
      </w:sdt>
    </w:p>
    <w:p w:rsidR="00FF1C4A" w:rsidRDefault="00FF1C4A" w:rsidP="00FF1C4A">
      <w:pPr>
        <w:spacing w:before="100" w:beforeAutospacing="1" w:after="100" w:afterAutospacing="1"/>
        <w:rPr>
          <w:rFonts w:cs="Times New Roman"/>
          <w:szCs w:val="24"/>
        </w:rPr>
      </w:pPr>
      <w:r>
        <w:rPr>
          <w:rFonts w:cs="Times New Roman"/>
          <w:szCs w:val="24"/>
        </w:rPr>
        <w:t xml:space="preserve">Mientras el poder soberano </w:t>
      </w:r>
      <w:r w:rsidRPr="00FF1C4A">
        <w:rPr>
          <w:rFonts w:cs="Times New Roman"/>
          <w:i/>
          <w:szCs w:val="24"/>
        </w:rPr>
        <w:t>deja vivir y hace morir</w:t>
      </w:r>
      <w:r>
        <w:rPr>
          <w:rFonts w:cs="Times New Roman"/>
          <w:szCs w:val="24"/>
        </w:rPr>
        <w:t xml:space="preserve">, el poder biopolítico </w:t>
      </w:r>
      <w:r w:rsidRPr="00FF1C4A">
        <w:rPr>
          <w:rFonts w:cs="Times New Roman"/>
          <w:i/>
          <w:szCs w:val="24"/>
        </w:rPr>
        <w:t>hace vivir y deja morir</w:t>
      </w:r>
      <w:r>
        <w:rPr>
          <w:rFonts w:cs="Times New Roman"/>
          <w:szCs w:val="24"/>
        </w:rPr>
        <w:t xml:space="preserve">. </w:t>
      </w:r>
      <w:r w:rsidRPr="00FF1C4A">
        <w:rPr>
          <w:rFonts w:cs="Times New Roman"/>
          <w:szCs w:val="24"/>
        </w:rPr>
        <w:t xml:space="preserve">Este </w:t>
      </w:r>
      <w:r w:rsidR="005302A8" w:rsidRPr="00FF1C4A">
        <w:rPr>
          <w:rFonts w:cs="Times New Roman"/>
          <w:szCs w:val="24"/>
        </w:rPr>
        <w:t>tránsito</w:t>
      </w:r>
      <w:r w:rsidRPr="00FF1C4A">
        <w:rPr>
          <w:rFonts w:cs="Times New Roman"/>
          <w:szCs w:val="24"/>
        </w:rPr>
        <w:t xml:space="preserve"> era precisamente porque ese poder se aplicaba directamente sobre la mortalidad, entendiendo que la muerte era el final de la vida, </w:t>
      </w:r>
      <w:r>
        <w:rPr>
          <w:rFonts w:cs="Times New Roman"/>
          <w:szCs w:val="24"/>
        </w:rPr>
        <w:t>o su opuesto. El poder biopolítico en cambio se preocupa por la vida, pero es consciente que toda vida lleva en su seno la muerte, el propósito no es detener la muerte sino entenderla como parte del proceso de la vida..</w:t>
      </w:r>
      <w:r w:rsidRPr="00FF1C4A">
        <w:rPr>
          <w:rFonts w:cs="Times New Roman"/>
          <w:szCs w:val="24"/>
        </w:rPr>
        <w:t xml:space="preserve">. </w:t>
      </w:r>
      <w:r>
        <w:rPr>
          <w:rFonts w:cs="Times New Roman"/>
          <w:szCs w:val="24"/>
        </w:rPr>
        <w:t>Mientras el individuo muerte en la soberanía, en la biopolítica la muerte del individuo es un acontecimiento natural, pues lo que hay que preservar es la vida de la especie, de la población. La indiferencia de la biopolítica sobre la muerte del individuo es uno de sus rasgos distintivos. Sin embargo, esta indiferencia hay que entenderla de forma adecuada, porque si la vida lleva en su seno la muerte, es necesario entender que para producir la vida, es necesaria la muerte.</w:t>
      </w:r>
    </w:p>
    <w:p w:rsidR="00FF1C4A" w:rsidRPr="00FF1C4A" w:rsidRDefault="00FF1C4A" w:rsidP="00FF1C4A">
      <w:pPr>
        <w:spacing w:before="100" w:beforeAutospacing="1" w:after="100" w:afterAutospacing="1"/>
        <w:rPr>
          <w:rFonts w:cs="Times New Roman"/>
          <w:szCs w:val="24"/>
        </w:rPr>
      </w:pPr>
      <w:r>
        <w:rPr>
          <w:sz w:val="22"/>
        </w:rPr>
        <w:t>Entonces, en esta tecnología de poder que tiene por objeto y objetivo la vida (y que me parece uno de los rasgos fundamentales de la tecnología del poder desde el siglo XIX), ¿cómo va a ejercerse el derecho de matar y la función del asesinato, si es cierto que el poder de soberanía retrocede cada vez más y que, al contrario, ava</w:t>
      </w:r>
      <w:r w:rsidR="005302A8">
        <w:rPr>
          <w:sz w:val="22"/>
        </w:rPr>
        <w:t xml:space="preserve">nza más y más el </w:t>
      </w:r>
      <w:r w:rsidR="005302A8">
        <w:rPr>
          <w:sz w:val="22"/>
        </w:rPr>
        <w:lastRenderedPageBreak/>
        <w:t>biopoder disci</w:t>
      </w:r>
      <w:r>
        <w:rPr>
          <w:sz w:val="22"/>
        </w:rPr>
        <w:t xml:space="preserve">plinario o regulador? </w:t>
      </w:r>
      <w:r w:rsidR="00883B67">
        <w:rPr>
          <w:sz w:val="22"/>
        </w:rPr>
        <w:t>¿Cómo puede matar un poder como ése, si es verdad que se trata esencialmente de realzar la vida?</w:t>
      </w:r>
      <w:sdt>
        <w:sdtPr>
          <w:rPr>
            <w:sz w:val="22"/>
          </w:rPr>
          <w:id w:val="1749459377"/>
          <w:citation/>
        </w:sdtPr>
        <w:sdtContent>
          <w:r w:rsidR="004967BC">
            <w:rPr>
              <w:sz w:val="22"/>
            </w:rPr>
            <w:fldChar w:fldCharType="begin"/>
          </w:r>
          <w:r w:rsidR="002548D7">
            <w:rPr>
              <w:sz w:val="22"/>
            </w:rPr>
            <w:instrText xml:space="preserve">CITATION Mic00 \p 230 \t  \l 9226 </w:instrText>
          </w:r>
          <w:r w:rsidR="004967BC">
            <w:rPr>
              <w:sz w:val="22"/>
            </w:rPr>
            <w:fldChar w:fldCharType="separate"/>
          </w:r>
          <w:r w:rsidR="002548D7" w:rsidRPr="002548D7">
            <w:rPr>
              <w:noProof/>
              <w:sz w:val="22"/>
            </w:rPr>
            <w:t>(Foucault, 2000, pág. 230)</w:t>
          </w:r>
          <w:r w:rsidR="004967BC">
            <w:rPr>
              <w:sz w:val="22"/>
            </w:rPr>
            <w:fldChar w:fldCharType="end"/>
          </w:r>
        </w:sdtContent>
      </w:sdt>
    </w:p>
    <w:p w:rsidR="00FF1C4A" w:rsidRDefault="00FF1C4A" w:rsidP="003D5798">
      <w:pPr>
        <w:pStyle w:val="NormalWeb"/>
        <w:spacing w:line="360" w:lineRule="auto"/>
        <w:rPr>
          <w:rFonts w:eastAsiaTheme="minorHAnsi"/>
          <w:lang w:eastAsia="en-US"/>
        </w:rPr>
      </w:pPr>
      <w:r>
        <w:rPr>
          <w:rFonts w:eastAsiaTheme="minorHAnsi"/>
          <w:lang w:eastAsia="en-US"/>
        </w:rPr>
        <w:t>Es aquí donde Foucault hace intervenir el concepto de racismo</w:t>
      </w:r>
      <w:r w:rsidR="00FD20B9">
        <w:rPr>
          <w:rFonts w:eastAsiaTheme="minorHAnsi"/>
          <w:lang w:eastAsia="en-US"/>
        </w:rPr>
        <w:t xml:space="preserve">: </w:t>
      </w:r>
    </w:p>
    <w:p w:rsidR="00E370C3" w:rsidRPr="00AE2796" w:rsidRDefault="00FF1C4A" w:rsidP="00FF1C4A">
      <w:pPr>
        <w:pStyle w:val="Cita"/>
        <w:rPr>
          <w:sz w:val="22"/>
        </w:rPr>
      </w:pPr>
      <w:r w:rsidRPr="00AE2796">
        <w:rPr>
          <w:sz w:val="22"/>
        </w:rPr>
        <w:t>No quiero decir en absoluto que se haya inventado en esta época. Existía desde mucho tiempo atrás. Pero creo que funcionaba en otra parte. Sin duda, fue el surgimiento del biopoder lo que inscribió el racismo en los mecanismos del Estado. En ese momento, el racismo se inscribió como mecanismo fundamental del poder, tal como se ejerce en los Estados modernos y en la medida en que hace que prácticamente no haya funcionamiento moderno del Estado que, en cierto momento, en cierto límite y ciertas condiciones, no pase por él.</w:t>
      </w:r>
      <w:sdt>
        <w:sdtPr>
          <w:rPr>
            <w:sz w:val="22"/>
          </w:rPr>
          <w:id w:val="87507879"/>
          <w:citation/>
        </w:sdtPr>
        <w:sdtContent>
          <w:r w:rsidR="004967BC" w:rsidRPr="00AE2796">
            <w:rPr>
              <w:sz w:val="22"/>
            </w:rPr>
            <w:fldChar w:fldCharType="begin"/>
          </w:r>
          <w:r w:rsidR="00AE2796" w:rsidRPr="00AE2796">
            <w:rPr>
              <w:sz w:val="22"/>
            </w:rPr>
            <w:instrText xml:space="preserve">CITATION Mic00 \t  \l 9226 </w:instrText>
          </w:r>
          <w:r w:rsidR="004967BC" w:rsidRPr="00AE2796">
            <w:rPr>
              <w:sz w:val="22"/>
            </w:rPr>
            <w:fldChar w:fldCharType="separate"/>
          </w:r>
          <w:r w:rsidR="00AE2796" w:rsidRPr="00AE2796">
            <w:rPr>
              <w:noProof/>
              <w:sz w:val="22"/>
            </w:rPr>
            <w:t xml:space="preserve"> (Foucault, 2000)</w:t>
          </w:r>
          <w:r w:rsidR="004967BC" w:rsidRPr="00AE2796">
            <w:rPr>
              <w:sz w:val="22"/>
            </w:rPr>
            <w:fldChar w:fldCharType="end"/>
          </w:r>
        </w:sdtContent>
      </w:sdt>
      <w:r w:rsidR="00634DC0" w:rsidRPr="00AE2796">
        <w:rPr>
          <w:sz w:val="22"/>
        </w:rPr>
        <w:t>.</w:t>
      </w:r>
    </w:p>
    <w:p w:rsidR="003D5798" w:rsidRDefault="00FF1C4A" w:rsidP="003D5798">
      <w:pPr>
        <w:pStyle w:val="NormalWeb"/>
        <w:spacing w:line="360" w:lineRule="auto"/>
        <w:rPr>
          <w:rFonts w:eastAsiaTheme="minorHAnsi"/>
          <w:lang w:eastAsia="en-US"/>
        </w:rPr>
      </w:pPr>
      <w:r>
        <w:rPr>
          <w:rFonts w:eastAsiaTheme="minorHAnsi"/>
          <w:lang w:eastAsia="en-US"/>
        </w:rPr>
        <w:t xml:space="preserve">El racismo para Foucault tiene dos objetivos. Primero, establece un corte en el ámbito de la vida. Este corte tiene por objeto determinar lo que debe vivir y lo que se debe dejar morir. Para este proceso es de vital importancia conceptos como razas, que permiten establecer una diferencia e interrupción en el proceso de la vida. </w:t>
      </w:r>
      <w:r w:rsidR="003D5798" w:rsidRPr="003D5798">
        <w:rPr>
          <w:rFonts w:eastAsiaTheme="minorHAnsi"/>
          <w:lang w:eastAsia="en-US"/>
        </w:rPr>
        <w:t xml:space="preserve">Ahora, </w:t>
      </w:r>
      <w:r w:rsidR="003D5798" w:rsidRPr="00FD20B9">
        <w:rPr>
          <w:rFonts w:eastAsiaTheme="minorHAnsi"/>
          <w:i/>
          <w:lang w:eastAsia="en-US"/>
        </w:rPr>
        <w:t>“la situación atómica se encuentra en la desembocadura de ese proceso: el poder de exponer a una población a una muerte general es el envés del poder de garantizar a otra su existencia.</w:t>
      </w:r>
      <w:r w:rsidR="00634DC0" w:rsidRPr="00FD20B9">
        <w:rPr>
          <w:rFonts w:eastAsiaTheme="minorHAnsi"/>
          <w:i/>
          <w:lang w:eastAsia="en-US"/>
        </w:rPr>
        <w:t>”.</w:t>
      </w:r>
      <w:sdt>
        <w:sdtPr>
          <w:rPr>
            <w:rFonts w:eastAsiaTheme="minorHAnsi"/>
            <w:i/>
            <w:lang w:eastAsia="en-US"/>
          </w:rPr>
          <w:id w:val="87507880"/>
          <w:citation/>
        </w:sdtPr>
        <w:sdtContent>
          <w:r w:rsidR="004967BC">
            <w:rPr>
              <w:rFonts w:eastAsiaTheme="minorHAnsi"/>
              <w:i/>
              <w:lang w:eastAsia="en-US"/>
            </w:rPr>
            <w:fldChar w:fldCharType="begin"/>
          </w:r>
          <w:r w:rsidR="00FD20B9">
            <w:rPr>
              <w:rFonts w:eastAsiaTheme="minorHAnsi"/>
              <w:i/>
              <w:lang w:eastAsia="en-US"/>
            </w:rPr>
            <w:instrText xml:space="preserve"> CITATION Mic06 \p 162 \l 9226  </w:instrText>
          </w:r>
          <w:r w:rsidR="004967BC">
            <w:rPr>
              <w:rFonts w:eastAsiaTheme="minorHAnsi"/>
              <w:i/>
              <w:lang w:eastAsia="en-US"/>
            </w:rPr>
            <w:fldChar w:fldCharType="separate"/>
          </w:r>
          <w:r w:rsidR="001F57E9">
            <w:rPr>
              <w:rFonts w:eastAsiaTheme="minorHAnsi"/>
              <w:i/>
              <w:noProof/>
              <w:lang w:eastAsia="en-US"/>
            </w:rPr>
            <w:t xml:space="preserve"> </w:t>
          </w:r>
          <w:r w:rsidR="001F57E9" w:rsidRPr="001F57E9">
            <w:rPr>
              <w:rFonts w:eastAsiaTheme="minorHAnsi"/>
              <w:noProof/>
              <w:lang w:eastAsia="en-US"/>
            </w:rPr>
            <w:t>(Foucault, Seguridad, territorio y poblaciòn, 2006, pág. 162)</w:t>
          </w:r>
          <w:r w:rsidR="004967BC">
            <w:rPr>
              <w:rFonts w:eastAsiaTheme="minorHAnsi"/>
              <w:i/>
              <w:lang w:eastAsia="en-US"/>
            </w:rPr>
            <w:fldChar w:fldCharType="end"/>
          </w:r>
        </w:sdtContent>
      </w:sdt>
      <w:r>
        <w:rPr>
          <w:rFonts w:eastAsiaTheme="minorHAnsi"/>
          <w:lang w:eastAsia="en-US"/>
        </w:rPr>
        <w:t>. El segundo objetivo del racismo según Foucault es instalar un principio según el cual mientras más mueran, mientras más dejes morir, más vivirás.</w:t>
      </w:r>
    </w:p>
    <w:p w:rsidR="00FF1C4A" w:rsidRPr="00A26B08" w:rsidRDefault="00847E42" w:rsidP="00847E42">
      <w:pPr>
        <w:pStyle w:val="Cita"/>
        <w:rPr>
          <w:sz w:val="22"/>
        </w:rPr>
      </w:pPr>
      <w:r w:rsidRPr="00A26B08">
        <w:rPr>
          <w:sz w:val="22"/>
        </w:rPr>
        <w:t>E</w:t>
      </w:r>
      <w:r w:rsidR="00FF1C4A" w:rsidRPr="00A26B08">
        <w:rPr>
          <w:sz w:val="22"/>
        </w:rPr>
        <w:t xml:space="preserve">n efecto, el racismo permitirá establecer, entre mi vida y la muerte del otro, una relación que no es militar y guerrera de enfrentamiento sino de tipo biológico: ―cuanto más tiendan a desaparecer las especies inferiores, mayor cantidad de individuos anormales serán eliminados, menos degenerados habrá con respecto a la especie y yo —no como individuo sino como especie— más viviré, más fuerte y vigoroso seré y más podré proliferar‖. La muerte del otro no es simplemente mi vida, considerada como mi seguridad personal; la </w:t>
      </w:r>
      <w:r w:rsidR="00FF1C4A" w:rsidRPr="00A26B08">
        <w:rPr>
          <w:sz w:val="22"/>
        </w:rPr>
        <w:lastRenderedPageBreak/>
        <w:t xml:space="preserve">muerte del otro, la muerte de la mala raza, de la raza inferior (o del degenerado o el anormal), es lo que va a hacer que la vida en general sea más sana; más sana y más pura. (. </w:t>
      </w:r>
      <w:sdt>
        <w:sdtPr>
          <w:rPr>
            <w:sz w:val="22"/>
          </w:rPr>
          <w:id w:val="87507881"/>
          <w:citation/>
        </w:sdtPr>
        <w:sdtContent>
          <w:r w:rsidR="004967BC" w:rsidRPr="00A26B08">
            <w:rPr>
              <w:sz w:val="22"/>
            </w:rPr>
            <w:fldChar w:fldCharType="begin"/>
          </w:r>
          <w:r w:rsidR="00A26B08" w:rsidRPr="00A26B08">
            <w:rPr>
              <w:sz w:val="22"/>
            </w:rPr>
            <w:instrText xml:space="preserve">CITATION Mic00 \t  \l 9226 </w:instrText>
          </w:r>
          <w:r w:rsidR="004967BC" w:rsidRPr="00A26B08">
            <w:rPr>
              <w:sz w:val="22"/>
            </w:rPr>
            <w:fldChar w:fldCharType="separate"/>
          </w:r>
          <w:r w:rsidR="00A26B08" w:rsidRPr="00A26B08">
            <w:rPr>
              <w:noProof/>
              <w:sz w:val="22"/>
            </w:rPr>
            <w:t>(Foucault, 2000)</w:t>
          </w:r>
          <w:r w:rsidR="004967BC" w:rsidRPr="00A26B08">
            <w:rPr>
              <w:sz w:val="22"/>
            </w:rPr>
            <w:fldChar w:fldCharType="end"/>
          </w:r>
        </w:sdtContent>
      </w:sdt>
    </w:p>
    <w:p w:rsidR="00FF1C4A" w:rsidRDefault="003D5798" w:rsidP="00FF1C4A">
      <w:pPr>
        <w:spacing w:before="100" w:beforeAutospacing="1" w:after="100" w:afterAutospacing="1"/>
        <w:rPr>
          <w:rFonts w:cs="Times New Roman"/>
          <w:szCs w:val="24"/>
        </w:rPr>
      </w:pPr>
      <w:r w:rsidRPr="00E835D9">
        <w:t xml:space="preserve">En líneas generales, el racismo atiende </w:t>
      </w:r>
      <w:r w:rsidR="00FF1C4A" w:rsidRPr="00E835D9">
        <w:t>a</w:t>
      </w:r>
      <w:r w:rsidRPr="00E835D9">
        <w:t xml:space="preserve">l tema </w:t>
      </w:r>
      <w:r w:rsidR="00FF1C4A" w:rsidRPr="00E835D9">
        <w:t xml:space="preserve">del </w:t>
      </w:r>
      <w:r w:rsidRPr="00E835D9">
        <w:t xml:space="preserve">fortalecimiento y </w:t>
      </w:r>
      <w:r w:rsidR="00FF1C4A" w:rsidRPr="00E835D9">
        <w:t xml:space="preserve">la </w:t>
      </w:r>
      <w:r w:rsidRPr="00E835D9">
        <w:t xml:space="preserve">preservación biológica, que tiene como objetivo central la conservación de la especie. </w:t>
      </w:r>
      <w:r w:rsidR="00FF1C4A" w:rsidRPr="00E835D9">
        <w:t>Pero,</w:t>
      </w:r>
      <w:r w:rsidR="00FF1C4A" w:rsidRPr="00FF1C4A">
        <w:rPr>
          <w:b/>
        </w:rPr>
        <w:t xml:space="preserve"> </w:t>
      </w:r>
      <w:r w:rsidR="00FF1C4A" w:rsidRPr="00FF1C4A">
        <w:rPr>
          <w:rFonts w:cs="Times New Roman"/>
          <w:szCs w:val="24"/>
        </w:rPr>
        <w:t xml:space="preserve">en esa medida, </w:t>
      </w:r>
      <w:r w:rsidR="00FF1C4A" w:rsidRPr="00FF1C4A">
        <w:rPr>
          <w:rFonts w:cs="Times New Roman"/>
          <w:i/>
          <w:szCs w:val="24"/>
        </w:rPr>
        <w:t>“</w:t>
      </w:r>
      <w:r w:rsidR="00E62853">
        <w:rPr>
          <w:rFonts w:cs="Times New Roman"/>
          <w:i/>
          <w:szCs w:val="24"/>
        </w:rPr>
        <w:t>s</w:t>
      </w:r>
      <w:r w:rsidR="00FF1C4A" w:rsidRPr="00FF1C4A">
        <w:rPr>
          <w:rFonts w:cs="Times New Roman"/>
          <w:i/>
          <w:szCs w:val="24"/>
        </w:rPr>
        <w:t>olo se puede conservar la vida de la especie, y solo se puede producir esta vida, mediante procedimientos que llevan en su seno el aislamiento, el abandono o incluso la muerte de ciertos individuos: los anormales, los enfermos y los degenerados”.</w:t>
      </w:r>
      <w:sdt>
        <w:sdtPr>
          <w:rPr>
            <w:rFonts w:cs="Times New Roman"/>
            <w:szCs w:val="24"/>
          </w:rPr>
          <w:id w:val="3780110"/>
          <w:citation/>
        </w:sdtPr>
        <w:sdtContent>
          <w:r w:rsidR="004967BC" w:rsidRPr="00FF1C4A">
            <w:rPr>
              <w:rFonts w:cs="Times New Roman"/>
              <w:szCs w:val="24"/>
            </w:rPr>
            <w:fldChar w:fldCharType="begin"/>
          </w:r>
          <w:r w:rsidR="00FF1C4A" w:rsidRPr="00FF1C4A">
            <w:rPr>
              <w:rFonts w:cs="Times New Roman"/>
              <w:szCs w:val="24"/>
            </w:rPr>
            <w:instrText xml:space="preserve"> CITATION Mor13 \p 103 \l 9226  </w:instrText>
          </w:r>
          <w:r w:rsidR="004967BC" w:rsidRPr="00FF1C4A">
            <w:rPr>
              <w:rFonts w:cs="Times New Roman"/>
              <w:szCs w:val="24"/>
            </w:rPr>
            <w:fldChar w:fldCharType="separate"/>
          </w:r>
          <w:r w:rsidR="00FF1C4A" w:rsidRPr="00FF1C4A">
            <w:rPr>
              <w:rFonts w:cs="Times New Roman"/>
              <w:noProof/>
              <w:szCs w:val="24"/>
            </w:rPr>
            <w:t xml:space="preserve"> (Moreno, 2013, pág. 103)</w:t>
          </w:r>
          <w:r w:rsidR="004967BC" w:rsidRPr="00FF1C4A">
            <w:rPr>
              <w:rFonts w:cs="Times New Roman"/>
              <w:szCs w:val="24"/>
            </w:rPr>
            <w:fldChar w:fldCharType="end"/>
          </w:r>
        </w:sdtContent>
      </w:sdt>
      <w:r w:rsidR="00FF1C4A" w:rsidRPr="00FF1C4A">
        <w:rPr>
          <w:rFonts w:cs="Times New Roman"/>
          <w:szCs w:val="24"/>
        </w:rPr>
        <w:t xml:space="preserve">. </w:t>
      </w:r>
    </w:p>
    <w:p w:rsidR="003D5798" w:rsidRPr="003D5798" w:rsidRDefault="00E62853" w:rsidP="00E62853">
      <w:pPr>
        <w:spacing w:before="100" w:beforeAutospacing="1" w:after="100" w:afterAutospacing="1"/>
      </w:pPr>
      <w:r>
        <w:rPr>
          <w:rFonts w:cs="Times New Roman"/>
          <w:szCs w:val="24"/>
        </w:rPr>
        <w:t xml:space="preserve">Lo importante aquí es tener en cuenta que este racismo está lejos de ser una ideología social tangencial, sino que para Foucault </w:t>
      </w:r>
      <w:r w:rsidR="003D5798" w:rsidRPr="003D5798">
        <w:t xml:space="preserve">se encuentra unido al correcto funcionamiento del Estado </w:t>
      </w:r>
      <w:r>
        <w:t xml:space="preserve">moderno </w:t>
      </w:r>
      <w:r w:rsidR="009B6F7D">
        <w:t xml:space="preserve">que se encuentra en gran modo </w:t>
      </w:r>
      <w:r w:rsidR="006D0192" w:rsidRPr="003D5798">
        <w:t xml:space="preserve">obligado </w:t>
      </w:r>
      <w:r w:rsidR="006D0192">
        <w:t xml:space="preserve">a </w:t>
      </w:r>
      <w:r w:rsidR="006D0192" w:rsidRPr="003D5798">
        <w:t>servirse</w:t>
      </w:r>
      <w:r w:rsidR="003D5798" w:rsidRPr="003D5798">
        <w:t xml:space="preserve"> de la raza, de la purificación y conservación</w:t>
      </w:r>
      <w:r w:rsidR="009B6F7D">
        <w:t xml:space="preserve"> de esta</w:t>
      </w:r>
      <w:r w:rsidR="0027144D">
        <w:t>.</w:t>
      </w:r>
      <w:r w:rsidR="009B6F7D">
        <w:t xml:space="preserve"> </w:t>
      </w:r>
      <w:r w:rsidR="0027144D">
        <w:t>E</w:t>
      </w:r>
      <w:r w:rsidR="009B6F7D">
        <w:t>n palabras del filósofo</w:t>
      </w:r>
      <w:r w:rsidR="003D5798" w:rsidRPr="003D5798">
        <w:t xml:space="preserve"> se mata legítimamente a quienes significan </w:t>
      </w:r>
      <w:r w:rsidR="0027144D">
        <w:t xml:space="preserve">algún tipo de </w:t>
      </w:r>
      <w:r w:rsidR="009B6F7D">
        <w:t>peligro</w:t>
      </w:r>
      <w:r>
        <w:t xml:space="preserve"> para la existencia o vida de </w:t>
      </w:r>
      <w:r w:rsidR="0027144D">
        <w:t>aquellos cuya vida se desea preservar</w:t>
      </w:r>
      <w:r w:rsidR="009B6F7D">
        <w:t xml:space="preserve">. </w:t>
      </w:r>
    </w:p>
    <w:p w:rsidR="003D5798" w:rsidRPr="003D5798" w:rsidRDefault="003D5798" w:rsidP="003D5798">
      <w:pPr>
        <w:pStyle w:val="NormalWeb"/>
        <w:spacing w:line="360" w:lineRule="auto"/>
        <w:rPr>
          <w:rFonts w:eastAsiaTheme="minorHAnsi"/>
          <w:lang w:eastAsia="en-US"/>
        </w:rPr>
      </w:pPr>
    </w:p>
    <w:p w:rsidR="003D5798" w:rsidRPr="003D5798" w:rsidRDefault="003D5798" w:rsidP="003D5798">
      <w:pPr>
        <w:pStyle w:val="NormalWeb"/>
        <w:spacing w:line="360" w:lineRule="auto"/>
        <w:rPr>
          <w:rFonts w:eastAsiaTheme="minorHAnsi"/>
          <w:lang w:eastAsia="en-US"/>
        </w:rPr>
      </w:pPr>
    </w:p>
    <w:p w:rsidR="004342EF" w:rsidRDefault="004342EF">
      <w:pPr>
        <w:spacing w:line="259" w:lineRule="auto"/>
        <w:rPr>
          <w:rFonts w:cs="Times New Roman"/>
          <w:b/>
          <w:sz w:val="28"/>
          <w:szCs w:val="24"/>
        </w:rPr>
      </w:pPr>
      <w:r>
        <w:rPr>
          <w:b/>
          <w:sz w:val="28"/>
        </w:rPr>
        <w:br w:type="page"/>
      </w:r>
    </w:p>
    <w:p w:rsidR="003D5798" w:rsidRPr="00750C99" w:rsidRDefault="00013C27" w:rsidP="00013C27">
      <w:pPr>
        <w:pStyle w:val="Ttulo2"/>
        <w:rPr>
          <w:rFonts w:eastAsiaTheme="minorHAnsi"/>
        </w:rPr>
      </w:pPr>
      <w:bookmarkStart w:id="14" w:name="_Toc12899008"/>
      <w:r w:rsidRPr="00750C99">
        <w:rPr>
          <w:rFonts w:eastAsiaTheme="minorHAnsi"/>
        </w:rPr>
        <w:lastRenderedPageBreak/>
        <w:t>La noción de peligro</w:t>
      </w:r>
      <w:bookmarkEnd w:id="14"/>
    </w:p>
    <w:p w:rsidR="0027144D" w:rsidRDefault="0027144D" w:rsidP="0056583A">
      <w:r>
        <w:t>En el capítulo anterior reflexionamos sobre las categorías de vida y muerte y cómo estas se relacionan con el aparato del Estado moderno, siendo un concepto importante a partir de est</w:t>
      </w:r>
      <w:r w:rsidR="004F59CF">
        <w:t>a</w:t>
      </w:r>
      <w:r>
        <w:t xml:space="preserve"> reflexión el concepto de racismo. A partir de allí llegamos el concepto de peligro.</w:t>
      </w:r>
      <w:r w:rsidR="004F59CF">
        <w:t xml:space="preserve"> La conservación de la raza o de la especie siempre está expuesta a peligros de diferente tipo, esta idea es uno de los pilares fundamentales del racismo que es propio, según Foucault, de los mecanismos biopolíticos de poder propios de la manera de gobernar del Estado moderno.</w:t>
      </w:r>
    </w:p>
    <w:p w:rsidR="004F59CF" w:rsidRDefault="004F59CF" w:rsidP="0056583A">
      <w:r>
        <w:t xml:space="preserve">Para entender de mejor manera la esencialidad de estos peligros es importante concentrarse en resaltar algunos aspectos que ya hemos mencionado, como la naturalidad que sirve como principio legitimador y espacio de veridicción del liberalismo como forma de gobernar que se instauró en el Estado moderno. Pero también debemos rastrear algunas otras características, como el concepto de peligrosidad, acontecimiento. Pero, sobre todo, ahondar un poco más en la compleja relación entre liberalismo, libertad, y seguridad.  </w:t>
      </w:r>
    </w:p>
    <w:p w:rsidR="003D5798" w:rsidRPr="00750C99" w:rsidRDefault="0056583A" w:rsidP="004342EF">
      <w:pPr>
        <w:pStyle w:val="Ttulo3"/>
        <w:rPr>
          <w:rFonts w:eastAsiaTheme="minorHAnsi"/>
        </w:rPr>
      </w:pPr>
      <w:bookmarkStart w:id="15" w:name="_Toc12899009"/>
      <w:bookmarkStart w:id="16" w:name="_Hlk1660065"/>
      <w:r>
        <w:rPr>
          <w:rFonts w:eastAsiaTheme="minorHAnsi"/>
        </w:rPr>
        <w:t xml:space="preserve">3.1 </w:t>
      </w:r>
      <w:r w:rsidR="003D5798" w:rsidRPr="00750C99">
        <w:rPr>
          <w:rFonts w:eastAsiaTheme="minorHAnsi"/>
        </w:rPr>
        <w:t>Liberalismo, libertad y seguridad</w:t>
      </w:r>
      <w:bookmarkEnd w:id="15"/>
    </w:p>
    <w:bookmarkEnd w:id="16"/>
    <w:p w:rsidR="003D5798" w:rsidRPr="003D5798" w:rsidRDefault="005B042D" w:rsidP="00E7284C">
      <w:pPr>
        <w:pStyle w:val="NormalWeb"/>
        <w:spacing w:line="360" w:lineRule="auto"/>
        <w:rPr>
          <w:rFonts w:eastAsiaTheme="minorHAnsi"/>
          <w:lang w:eastAsia="en-US"/>
        </w:rPr>
      </w:pPr>
      <w:r>
        <w:rPr>
          <w:rFonts w:eastAsiaTheme="minorHAnsi"/>
          <w:lang w:eastAsia="en-US"/>
        </w:rPr>
        <w:t xml:space="preserve">Libertad y seguridad hacen parte de </w:t>
      </w:r>
      <w:r w:rsidR="003D5798" w:rsidRPr="003D5798">
        <w:rPr>
          <w:rFonts w:eastAsiaTheme="minorHAnsi"/>
          <w:lang w:eastAsia="en-US"/>
        </w:rPr>
        <w:t xml:space="preserve">las categorías </w:t>
      </w:r>
      <w:r>
        <w:rPr>
          <w:rFonts w:eastAsiaTheme="minorHAnsi"/>
          <w:lang w:eastAsia="en-US"/>
        </w:rPr>
        <w:t xml:space="preserve">o valores </w:t>
      </w:r>
      <w:r w:rsidR="003D5798" w:rsidRPr="003D5798">
        <w:rPr>
          <w:rFonts w:eastAsiaTheme="minorHAnsi"/>
          <w:lang w:eastAsia="en-US"/>
        </w:rPr>
        <w:t>polític</w:t>
      </w:r>
      <w:r>
        <w:rPr>
          <w:rFonts w:eastAsiaTheme="minorHAnsi"/>
          <w:lang w:eastAsia="en-US"/>
        </w:rPr>
        <w:t>o</w:t>
      </w:r>
      <w:r w:rsidR="003D5798" w:rsidRPr="003D5798">
        <w:rPr>
          <w:rFonts w:eastAsiaTheme="minorHAnsi"/>
          <w:lang w:eastAsia="en-US"/>
        </w:rPr>
        <w:t>s tradicionales</w:t>
      </w:r>
      <w:r>
        <w:rPr>
          <w:rFonts w:eastAsiaTheme="minorHAnsi"/>
          <w:lang w:eastAsia="en-US"/>
        </w:rPr>
        <w:t xml:space="preserve">. </w:t>
      </w:r>
      <w:r w:rsidR="003D5798" w:rsidRPr="00750C99">
        <w:rPr>
          <w:rFonts w:eastAsiaTheme="minorHAnsi"/>
          <w:b/>
          <w:lang w:eastAsia="en-US"/>
        </w:rPr>
        <w:t xml:space="preserve"> </w:t>
      </w:r>
      <w:r w:rsidR="003D5798" w:rsidRPr="003D5798">
        <w:rPr>
          <w:rFonts w:eastAsiaTheme="minorHAnsi"/>
          <w:lang w:eastAsia="en-US"/>
        </w:rPr>
        <w:t xml:space="preserve">Para Foucault, el Liberalismo </w:t>
      </w:r>
      <w:r w:rsidR="00120B35">
        <w:rPr>
          <w:rFonts w:eastAsiaTheme="minorHAnsi"/>
          <w:lang w:eastAsia="en-US"/>
        </w:rPr>
        <w:t>entra en un juego de tensiones que implica confrontar estos valores</w:t>
      </w:r>
      <w:r w:rsidR="00E7284C">
        <w:rPr>
          <w:rFonts w:eastAsiaTheme="minorHAnsi"/>
          <w:lang w:eastAsia="en-US"/>
        </w:rPr>
        <w:t xml:space="preserve">. </w:t>
      </w:r>
      <w:r w:rsidR="003D5798" w:rsidRPr="003D5798">
        <w:rPr>
          <w:rFonts w:eastAsiaTheme="minorHAnsi"/>
          <w:lang w:eastAsia="en-US"/>
        </w:rPr>
        <w:t>Para efectos de ampliar est</w:t>
      </w:r>
      <w:r w:rsidR="00E7284C">
        <w:rPr>
          <w:rFonts w:eastAsiaTheme="minorHAnsi"/>
          <w:lang w:eastAsia="en-US"/>
        </w:rPr>
        <w:t xml:space="preserve">a idea debemos recordar lo que para </w:t>
      </w:r>
      <w:proofErr w:type="gramStart"/>
      <w:r w:rsidR="00E7284C">
        <w:rPr>
          <w:rFonts w:eastAsiaTheme="minorHAnsi"/>
          <w:lang w:eastAsia="en-US"/>
        </w:rPr>
        <w:t xml:space="preserve">Foucault </w:t>
      </w:r>
      <w:r w:rsidR="003D5798" w:rsidRPr="003D5798">
        <w:rPr>
          <w:rFonts w:eastAsiaTheme="minorHAnsi"/>
          <w:lang w:eastAsia="en-US"/>
        </w:rPr>
        <w:t xml:space="preserve"> </w:t>
      </w:r>
      <w:r w:rsidR="00E7284C">
        <w:rPr>
          <w:rFonts w:eastAsiaTheme="minorHAnsi"/>
          <w:lang w:eastAsia="en-US"/>
        </w:rPr>
        <w:t>es</w:t>
      </w:r>
      <w:proofErr w:type="gramEnd"/>
      <w:r w:rsidR="00E7284C">
        <w:rPr>
          <w:rFonts w:eastAsiaTheme="minorHAnsi"/>
          <w:lang w:eastAsia="en-US"/>
        </w:rPr>
        <w:t xml:space="preserve"> característico del liberalismo</w:t>
      </w:r>
      <w:r w:rsidR="003D5798" w:rsidRPr="003D5798">
        <w:rPr>
          <w:rFonts w:eastAsiaTheme="minorHAnsi"/>
          <w:lang w:eastAsia="en-US"/>
        </w:rPr>
        <w:t xml:space="preserve">: </w:t>
      </w:r>
      <w:r w:rsidR="003D5798" w:rsidRPr="0056583A">
        <w:rPr>
          <w:rFonts w:eastAsiaTheme="minorHAnsi"/>
          <w:i/>
          <w:lang w:eastAsia="en-US"/>
        </w:rPr>
        <w:t>“El liberalismo, es un juego: Dejar que la gente haga y las cosas pasen, que las cosas transcurran, dejar hacer, pasar y transcurrir”.</w:t>
      </w:r>
      <w:sdt>
        <w:sdtPr>
          <w:rPr>
            <w:rFonts w:eastAsiaTheme="minorHAnsi"/>
            <w:i/>
            <w:lang w:eastAsia="en-US"/>
          </w:rPr>
          <w:id w:val="87507918"/>
          <w:citation/>
        </w:sdtPr>
        <w:sdtContent>
          <w:r w:rsidR="004967BC">
            <w:rPr>
              <w:rFonts w:eastAsiaTheme="minorHAnsi"/>
              <w:i/>
              <w:lang w:eastAsia="en-US"/>
            </w:rPr>
            <w:fldChar w:fldCharType="begin"/>
          </w:r>
          <w:r w:rsidR="00A26B08">
            <w:rPr>
              <w:rFonts w:eastAsiaTheme="minorHAnsi"/>
              <w:i/>
              <w:lang w:eastAsia="en-US"/>
            </w:rPr>
            <w:instrText xml:space="preserve">CITATION Mic06 \p 37 \t  \l 9226 </w:instrText>
          </w:r>
          <w:r w:rsidR="004967BC">
            <w:rPr>
              <w:rFonts w:eastAsiaTheme="minorHAnsi"/>
              <w:i/>
              <w:lang w:eastAsia="en-US"/>
            </w:rPr>
            <w:fldChar w:fldCharType="separate"/>
          </w:r>
          <w:r w:rsidR="00A26B08">
            <w:rPr>
              <w:rFonts w:eastAsiaTheme="minorHAnsi"/>
              <w:i/>
              <w:noProof/>
              <w:lang w:eastAsia="en-US"/>
            </w:rPr>
            <w:t xml:space="preserve"> </w:t>
          </w:r>
          <w:r w:rsidR="00A26B08" w:rsidRPr="00A26B08">
            <w:rPr>
              <w:rFonts w:eastAsiaTheme="minorHAnsi"/>
              <w:noProof/>
              <w:lang w:eastAsia="en-US"/>
            </w:rPr>
            <w:t>(Foucault, 2006, pág. 37)</w:t>
          </w:r>
          <w:r w:rsidR="004967BC">
            <w:rPr>
              <w:rFonts w:eastAsiaTheme="minorHAnsi"/>
              <w:i/>
              <w:lang w:eastAsia="en-US"/>
            </w:rPr>
            <w:fldChar w:fldCharType="end"/>
          </w:r>
        </w:sdtContent>
      </w:sdt>
      <w:r w:rsidR="003D5798" w:rsidRPr="003D5798">
        <w:rPr>
          <w:rFonts w:eastAsiaTheme="minorHAnsi"/>
          <w:lang w:eastAsia="en-US"/>
        </w:rPr>
        <w:t xml:space="preserve"> </w:t>
      </w:r>
      <w:r w:rsidR="006D706F">
        <w:rPr>
          <w:rFonts w:eastAsiaTheme="minorHAnsi"/>
          <w:lang w:eastAsia="en-US"/>
        </w:rPr>
        <w:t xml:space="preserve">. </w:t>
      </w:r>
      <w:r w:rsidR="0022203C">
        <w:rPr>
          <w:rFonts w:eastAsiaTheme="minorHAnsi"/>
          <w:lang w:eastAsia="en-US"/>
        </w:rPr>
        <w:t xml:space="preserve">Partiendo de lo anterior, se puede ampliar esta descripción con los siguientes apuntes: </w:t>
      </w:r>
    </w:p>
    <w:p w:rsidR="006D706F" w:rsidRPr="006D706F" w:rsidRDefault="003D5798" w:rsidP="006D706F">
      <w:pPr>
        <w:pStyle w:val="NormalWeb"/>
        <w:numPr>
          <w:ilvl w:val="0"/>
          <w:numId w:val="15"/>
        </w:numPr>
        <w:spacing w:line="360" w:lineRule="auto"/>
        <w:rPr>
          <w:rFonts w:eastAsiaTheme="minorHAnsi"/>
          <w:lang w:eastAsia="en-US"/>
        </w:rPr>
      </w:pPr>
      <w:r w:rsidRPr="00750C99">
        <w:rPr>
          <w:rFonts w:eastAsiaTheme="minorHAnsi"/>
          <w:b/>
          <w:lang w:eastAsia="en-US"/>
        </w:rPr>
        <w:t>No intervención del Estado:</w:t>
      </w:r>
      <w:r w:rsidRPr="003D5798">
        <w:rPr>
          <w:rFonts w:eastAsiaTheme="minorHAnsi"/>
          <w:lang w:eastAsia="en-US"/>
        </w:rPr>
        <w:t xml:space="preserve"> Aquí encontramos que no se realizan intercambios ni intervenciones en pro del desarrollo del mercado, tomando como referente que el objetivo principal del liberalismo es que por medio de la </w:t>
      </w:r>
      <w:r w:rsidR="006D706F">
        <w:rPr>
          <w:rFonts w:eastAsiaTheme="minorHAnsi"/>
          <w:lang w:eastAsia="en-US"/>
        </w:rPr>
        <w:t>libertad y le seguridad se logre</w:t>
      </w:r>
      <w:r w:rsidRPr="003D5798">
        <w:rPr>
          <w:rFonts w:eastAsiaTheme="minorHAnsi"/>
          <w:lang w:eastAsia="en-US"/>
        </w:rPr>
        <w:t xml:space="preserve"> la construcción de sujetos, </w:t>
      </w:r>
      <w:r w:rsidRPr="0056583A">
        <w:rPr>
          <w:rFonts w:eastAsiaTheme="minorHAnsi"/>
          <w:i/>
          <w:lang w:eastAsia="en-US"/>
        </w:rPr>
        <w:t xml:space="preserve">“Un liberalismo, </w:t>
      </w:r>
      <w:r w:rsidRPr="0056583A">
        <w:rPr>
          <w:rFonts w:eastAsiaTheme="minorHAnsi"/>
          <w:i/>
          <w:lang w:eastAsia="en-US"/>
        </w:rPr>
        <w:lastRenderedPageBreak/>
        <w:t>que luego de formar el programa policial para producir categorías de personas, es capaz de aportar condiciones para el juego de la libertad y regular la conducta en términos de empresarialidad.”</w:t>
      </w:r>
      <w:sdt>
        <w:sdtPr>
          <w:rPr>
            <w:rFonts w:eastAsiaTheme="minorHAnsi"/>
            <w:i/>
            <w:lang w:eastAsia="en-US"/>
          </w:rPr>
          <w:id w:val="87507919"/>
          <w:citation/>
        </w:sdtPr>
        <w:sdtContent>
          <w:r w:rsidR="004967BC">
            <w:rPr>
              <w:rFonts w:eastAsiaTheme="minorHAnsi"/>
              <w:i/>
              <w:lang w:eastAsia="en-US"/>
            </w:rPr>
            <w:fldChar w:fldCharType="begin"/>
          </w:r>
          <w:r w:rsidR="0056583A">
            <w:rPr>
              <w:rFonts w:eastAsiaTheme="minorHAnsi"/>
              <w:i/>
              <w:lang w:eastAsia="en-US"/>
            </w:rPr>
            <w:instrText xml:space="preserve"> CITATION MDo12 \p 1 \l 9226  </w:instrText>
          </w:r>
          <w:r w:rsidR="004967BC">
            <w:rPr>
              <w:rFonts w:eastAsiaTheme="minorHAnsi"/>
              <w:i/>
              <w:lang w:eastAsia="en-US"/>
            </w:rPr>
            <w:fldChar w:fldCharType="separate"/>
          </w:r>
          <w:r w:rsidR="001F57E9">
            <w:rPr>
              <w:rFonts w:eastAsiaTheme="minorHAnsi"/>
              <w:i/>
              <w:noProof/>
              <w:lang w:eastAsia="en-US"/>
            </w:rPr>
            <w:t xml:space="preserve"> </w:t>
          </w:r>
          <w:r w:rsidR="001F57E9" w:rsidRPr="001F57E9">
            <w:rPr>
              <w:rFonts w:eastAsiaTheme="minorHAnsi"/>
              <w:noProof/>
              <w:lang w:eastAsia="en-US"/>
            </w:rPr>
            <w:t>(Dominguez, 2012, pág. 1)</w:t>
          </w:r>
          <w:r w:rsidR="004967BC">
            <w:rPr>
              <w:rFonts w:eastAsiaTheme="minorHAnsi"/>
              <w:i/>
              <w:lang w:eastAsia="en-US"/>
            </w:rPr>
            <w:fldChar w:fldCharType="end"/>
          </w:r>
        </w:sdtContent>
      </w:sdt>
    </w:p>
    <w:p w:rsidR="003D5798" w:rsidRPr="003D5798" w:rsidRDefault="003D5798" w:rsidP="0056583A">
      <w:pPr>
        <w:pStyle w:val="NormalWeb"/>
        <w:numPr>
          <w:ilvl w:val="0"/>
          <w:numId w:val="15"/>
        </w:numPr>
        <w:spacing w:line="360" w:lineRule="auto"/>
        <w:rPr>
          <w:rFonts w:eastAsiaTheme="minorHAnsi"/>
          <w:lang w:eastAsia="en-US"/>
        </w:rPr>
      </w:pPr>
      <w:r w:rsidRPr="00750C99">
        <w:rPr>
          <w:rFonts w:eastAsiaTheme="minorHAnsi"/>
          <w:b/>
          <w:lang w:eastAsia="en-US"/>
        </w:rPr>
        <w:t>Principio de intercambio libre:</w:t>
      </w:r>
      <w:r w:rsidRPr="003D5798">
        <w:rPr>
          <w:rFonts w:eastAsiaTheme="minorHAnsi"/>
          <w:lang w:eastAsia="en-US"/>
        </w:rPr>
        <w:t xml:space="preserve"> Estos intercambios no son dados políticamente, sino que empiezan a ser más bien vistos como una especie de ley natural, que ve e interpreta los intercambios como un</w:t>
      </w:r>
      <w:r w:rsidR="00750C99">
        <w:rPr>
          <w:rFonts w:eastAsiaTheme="minorHAnsi"/>
          <w:lang w:eastAsia="en-US"/>
        </w:rPr>
        <w:t>os</w:t>
      </w:r>
      <w:r w:rsidRPr="003D5798">
        <w:rPr>
          <w:rFonts w:eastAsiaTheme="minorHAnsi"/>
          <w:lang w:eastAsia="en-US"/>
        </w:rPr>
        <w:t xml:space="preserve"> mecanismos para lograr la igualdad del mercado, logrando así crear una extensión hacia ciertos intereses que terminan con la creación e intercambios de los mismos, debido a que para el liberalismo el mercado libre es visto como una competencia, que permite crear cierta armonía en la sociedad</w:t>
      </w:r>
      <w:r w:rsidR="00897991">
        <w:rPr>
          <w:rFonts w:eastAsiaTheme="minorHAnsi"/>
          <w:lang w:eastAsia="en-US"/>
        </w:rPr>
        <w:t>.</w:t>
      </w:r>
      <w:sdt>
        <w:sdtPr>
          <w:rPr>
            <w:rFonts w:eastAsiaTheme="minorHAnsi"/>
            <w:lang w:eastAsia="en-US"/>
          </w:rPr>
          <w:id w:val="-1185206708"/>
          <w:citation/>
        </w:sdtPr>
        <w:sdtContent>
          <w:r w:rsidR="004967BC">
            <w:rPr>
              <w:rFonts w:eastAsiaTheme="minorHAnsi"/>
              <w:lang w:eastAsia="en-US"/>
            </w:rPr>
            <w:fldChar w:fldCharType="begin"/>
          </w:r>
          <w:r w:rsidR="00897991">
            <w:rPr>
              <w:rFonts w:eastAsiaTheme="minorHAnsi"/>
              <w:lang w:eastAsia="en-US"/>
            </w:rPr>
            <w:instrText xml:space="preserve">CITATION Mic07 \p 182 \t  \l 9226 </w:instrText>
          </w:r>
          <w:r w:rsidR="004967BC">
            <w:rPr>
              <w:rFonts w:eastAsiaTheme="minorHAnsi"/>
              <w:lang w:eastAsia="en-US"/>
            </w:rPr>
            <w:fldChar w:fldCharType="separate"/>
          </w:r>
          <w:r w:rsidR="00897991">
            <w:rPr>
              <w:rFonts w:eastAsiaTheme="minorHAnsi"/>
              <w:noProof/>
              <w:lang w:eastAsia="en-US"/>
            </w:rPr>
            <w:t xml:space="preserve"> </w:t>
          </w:r>
          <w:r w:rsidR="00897991" w:rsidRPr="00897991">
            <w:rPr>
              <w:rFonts w:eastAsiaTheme="minorHAnsi"/>
              <w:noProof/>
              <w:lang w:eastAsia="en-US"/>
            </w:rPr>
            <w:t>(Foucault, 2007, pág. 182)</w:t>
          </w:r>
          <w:r w:rsidR="004967BC">
            <w:rPr>
              <w:rFonts w:eastAsiaTheme="minorHAnsi"/>
              <w:lang w:eastAsia="en-US"/>
            </w:rPr>
            <w:fldChar w:fldCharType="end"/>
          </w:r>
        </w:sdtContent>
      </w:sdt>
      <w:r w:rsidR="00897991">
        <w:rPr>
          <w:rFonts w:eastAsiaTheme="minorHAnsi"/>
          <w:lang w:eastAsia="en-US"/>
        </w:rPr>
        <w:t xml:space="preserve"> </w:t>
      </w:r>
    </w:p>
    <w:p w:rsidR="00AA43E6" w:rsidRDefault="003D5798" w:rsidP="003D5798">
      <w:pPr>
        <w:pStyle w:val="NormalWeb"/>
        <w:spacing w:line="360" w:lineRule="auto"/>
        <w:rPr>
          <w:rFonts w:eastAsiaTheme="minorHAnsi"/>
          <w:lang w:eastAsia="en-US"/>
        </w:rPr>
      </w:pPr>
      <w:r w:rsidRPr="003D5798">
        <w:rPr>
          <w:rFonts w:eastAsiaTheme="minorHAnsi"/>
          <w:lang w:eastAsia="en-US"/>
        </w:rPr>
        <w:t xml:space="preserve">Lo anterior nos permite entender que el liberalismo necesita </w:t>
      </w:r>
      <w:r w:rsidR="0022203C">
        <w:rPr>
          <w:rFonts w:eastAsiaTheme="minorHAnsi"/>
          <w:lang w:eastAsia="en-US"/>
        </w:rPr>
        <w:t xml:space="preserve">de la libertad. </w:t>
      </w:r>
      <w:r w:rsidR="000A0A1D">
        <w:rPr>
          <w:rFonts w:eastAsiaTheme="minorHAnsi"/>
          <w:lang w:eastAsia="en-US"/>
        </w:rPr>
        <w:t xml:space="preserve">La libertad es el principio generador de la sociedad liberal. Pero, como afirma Foucault, la libertad no es un dato previo que el liberalismo encuentra </w:t>
      </w:r>
      <w:sdt>
        <w:sdtPr>
          <w:rPr>
            <w:rFonts w:eastAsiaTheme="minorHAnsi"/>
            <w:lang w:eastAsia="en-US"/>
          </w:rPr>
          <w:id w:val="2123873437"/>
          <w:citation/>
        </w:sdtPr>
        <w:sdtContent>
          <w:r w:rsidR="004967BC">
            <w:rPr>
              <w:rFonts w:eastAsiaTheme="minorHAnsi"/>
              <w:lang w:eastAsia="en-US"/>
            </w:rPr>
            <w:fldChar w:fldCharType="begin"/>
          </w:r>
          <w:r w:rsidR="00897991">
            <w:rPr>
              <w:rFonts w:eastAsiaTheme="minorHAnsi"/>
              <w:lang w:eastAsia="en-US"/>
            </w:rPr>
            <w:instrText xml:space="preserve">CITATION Mic07 \p 80 \t  \l 9226 </w:instrText>
          </w:r>
          <w:r w:rsidR="004967BC">
            <w:rPr>
              <w:rFonts w:eastAsiaTheme="minorHAnsi"/>
              <w:lang w:eastAsia="en-US"/>
            </w:rPr>
            <w:fldChar w:fldCharType="separate"/>
          </w:r>
          <w:r w:rsidR="00897991" w:rsidRPr="00897991">
            <w:rPr>
              <w:rFonts w:eastAsiaTheme="minorHAnsi"/>
              <w:noProof/>
              <w:lang w:eastAsia="en-US"/>
            </w:rPr>
            <w:t>(Foucault, 2007, pág. 80)</w:t>
          </w:r>
          <w:r w:rsidR="004967BC">
            <w:rPr>
              <w:rFonts w:eastAsiaTheme="minorHAnsi"/>
              <w:lang w:eastAsia="en-US"/>
            </w:rPr>
            <w:fldChar w:fldCharType="end"/>
          </w:r>
        </w:sdtContent>
      </w:sdt>
      <w:r w:rsidR="000A0A1D">
        <w:rPr>
          <w:rFonts w:eastAsiaTheme="minorHAnsi"/>
          <w:lang w:eastAsia="en-US"/>
        </w:rPr>
        <w:t xml:space="preserve">. </w:t>
      </w:r>
      <w:r w:rsidR="0022203C">
        <w:rPr>
          <w:rFonts w:eastAsiaTheme="minorHAnsi"/>
          <w:lang w:eastAsia="en-US"/>
        </w:rPr>
        <w:t>El liberalismo se ve entonces envuelto en un sistema donde requiere producir libertad, generarla, fortalecerla</w:t>
      </w:r>
      <w:r w:rsidR="000A0A1D">
        <w:rPr>
          <w:rFonts w:eastAsiaTheme="minorHAnsi"/>
          <w:lang w:eastAsia="en-US"/>
        </w:rPr>
        <w:t>.</w:t>
      </w:r>
      <w:r w:rsidR="00AA43E6">
        <w:rPr>
          <w:rFonts w:eastAsiaTheme="minorHAnsi"/>
          <w:lang w:eastAsia="en-US"/>
        </w:rPr>
        <w:t xml:space="preserve"> Pero, a</w:t>
      </w:r>
      <w:r w:rsidRPr="003D5798">
        <w:rPr>
          <w:rFonts w:eastAsiaTheme="minorHAnsi"/>
          <w:lang w:eastAsia="en-US"/>
        </w:rPr>
        <w:t xml:space="preserve">l estar obligado a producirla, a su vez se encuentra obligado a organizarla, en </w:t>
      </w:r>
      <w:r w:rsidR="00AA43E6">
        <w:rPr>
          <w:rFonts w:eastAsiaTheme="minorHAnsi"/>
          <w:lang w:eastAsia="en-US"/>
        </w:rPr>
        <w:t>l</w:t>
      </w:r>
      <w:r w:rsidRPr="003D5798">
        <w:rPr>
          <w:rFonts w:eastAsiaTheme="minorHAnsi"/>
          <w:lang w:eastAsia="en-US"/>
        </w:rPr>
        <w:t>a medida</w:t>
      </w:r>
      <w:r w:rsidR="00AA43E6">
        <w:rPr>
          <w:rFonts w:eastAsiaTheme="minorHAnsi"/>
          <w:lang w:eastAsia="en-US"/>
        </w:rPr>
        <w:t xml:space="preserve"> que los intereses de unos no primen sobre los de otros</w:t>
      </w:r>
      <w:r w:rsidRPr="003D5798">
        <w:rPr>
          <w:rFonts w:eastAsiaTheme="minorHAnsi"/>
          <w:lang w:eastAsia="en-US"/>
        </w:rPr>
        <w:t xml:space="preserve">, </w:t>
      </w:r>
      <w:r w:rsidR="00AA43E6">
        <w:rPr>
          <w:rFonts w:eastAsiaTheme="minorHAnsi"/>
          <w:lang w:eastAsia="en-US"/>
        </w:rPr>
        <w:t xml:space="preserve">en la medida que los intereses de unos pocos, no primen sobre los de la mayoría, y así. </w:t>
      </w:r>
      <w:r w:rsidR="00B70832">
        <w:rPr>
          <w:rFonts w:eastAsiaTheme="minorHAnsi"/>
          <w:lang w:eastAsia="en-US"/>
        </w:rPr>
        <w:t>El lib</w:t>
      </w:r>
      <w:r w:rsidR="00847E42">
        <w:rPr>
          <w:rFonts w:eastAsiaTheme="minorHAnsi"/>
          <w:lang w:eastAsia="en-US"/>
        </w:rPr>
        <w:t>e</w:t>
      </w:r>
      <w:r w:rsidR="00B70832">
        <w:rPr>
          <w:rFonts w:eastAsiaTheme="minorHAnsi"/>
          <w:lang w:eastAsia="en-US"/>
        </w:rPr>
        <w:t xml:space="preserve">ralismo entonces se ve inserto en un juego de cálculo </w:t>
      </w:r>
      <w:sdt>
        <w:sdtPr>
          <w:rPr>
            <w:rFonts w:eastAsiaTheme="minorHAnsi"/>
            <w:lang w:eastAsia="en-US"/>
          </w:rPr>
          <w:id w:val="1695967123"/>
          <w:citation/>
        </w:sdtPr>
        <w:sdtContent>
          <w:r w:rsidR="004967BC">
            <w:rPr>
              <w:rFonts w:eastAsiaTheme="minorHAnsi"/>
              <w:lang w:eastAsia="en-US"/>
            </w:rPr>
            <w:fldChar w:fldCharType="begin"/>
          </w:r>
          <w:r w:rsidR="00897991">
            <w:rPr>
              <w:rFonts w:eastAsiaTheme="minorHAnsi"/>
              <w:lang w:eastAsia="en-US"/>
            </w:rPr>
            <w:instrText xml:space="preserve">CITATION Mic07 \p 80 \t  \l 9226 </w:instrText>
          </w:r>
          <w:r w:rsidR="004967BC">
            <w:rPr>
              <w:rFonts w:eastAsiaTheme="minorHAnsi"/>
              <w:lang w:eastAsia="en-US"/>
            </w:rPr>
            <w:fldChar w:fldCharType="separate"/>
          </w:r>
          <w:r w:rsidR="00897991" w:rsidRPr="00897991">
            <w:rPr>
              <w:rFonts w:eastAsiaTheme="minorHAnsi"/>
              <w:noProof/>
              <w:lang w:eastAsia="en-US"/>
            </w:rPr>
            <w:t>(Foucault, 2007, pág. 80)</w:t>
          </w:r>
          <w:r w:rsidR="004967BC">
            <w:rPr>
              <w:rFonts w:eastAsiaTheme="minorHAnsi"/>
              <w:lang w:eastAsia="en-US"/>
            </w:rPr>
            <w:fldChar w:fldCharType="end"/>
          </w:r>
        </w:sdtContent>
      </w:sdt>
      <w:r w:rsidR="00B70832">
        <w:rPr>
          <w:rFonts w:eastAsiaTheme="minorHAnsi"/>
          <w:lang w:eastAsia="en-US"/>
        </w:rPr>
        <w:t xml:space="preserve"> en relación con la libertad</w:t>
      </w:r>
      <w:r w:rsidR="00847E42">
        <w:rPr>
          <w:rFonts w:eastAsiaTheme="minorHAnsi"/>
          <w:lang w:eastAsia="en-US"/>
        </w:rPr>
        <w:t xml:space="preserve">, y es desde aquí que </w:t>
      </w:r>
      <w:r w:rsidR="00AA43E6">
        <w:rPr>
          <w:rFonts w:eastAsiaTheme="minorHAnsi"/>
          <w:lang w:eastAsia="en-US"/>
        </w:rPr>
        <w:t>se deriva el primer acercamiento del liberalismo con la</w:t>
      </w:r>
      <w:r w:rsidR="00B73242">
        <w:rPr>
          <w:rFonts w:eastAsiaTheme="minorHAnsi"/>
          <w:lang w:eastAsia="en-US"/>
        </w:rPr>
        <w:t>s</w:t>
      </w:r>
      <w:r w:rsidR="00AA43E6">
        <w:rPr>
          <w:rFonts w:eastAsiaTheme="minorHAnsi"/>
          <w:lang w:eastAsia="en-US"/>
        </w:rPr>
        <w:t xml:space="preserve"> noci</w:t>
      </w:r>
      <w:r w:rsidR="00B73242">
        <w:rPr>
          <w:rFonts w:eastAsiaTheme="minorHAnsi"/>
          <w:lang w:eastAsia="en-US"/>
        </w:rPr>
        <w:t>ones</w:t>
      </w:r>
      <w:r w:rsidR="00AA43E6">
        <w:rPr>
          <w:rFonts w:eastAsiaTheme="minorHAnsi"/>
          <w:lang w:eastAsia="en-US"/>
        </w:rPr>
        <w:t xml:space="preserve"> de </w:t>
      </w:r>
      <w:r w:rsidR="00B73242">
        <w:rPr>
          <w:rFonts w:eastAsiaTheme="minorHAnsi"/>
          <w:lang w:eastAsia="en-US"/>
        </w:rPr>
        <w:t xml:space="preserve">seguridad y de </w:t>
      </w:r>
      <w:r w:rsidR="00AA43E6">
        <w:rPr>
          <w:rFonts w:eastAsiaTheme="minorHAnsi"/>
          <w:lang w:eastAsia="en-US"/>
        </w:rPr>
        <w:t xml:space="preserve">peligro. </w:t>
      </w:r>
    </w:p>
    <w:p w:rsidR="00847E42" w:rsidRPr="005A11EA" w:rsidRDefault="005A11EA" w:rsidP="00F57543">
      <w:pPr>
        <w:pStyle w:val="Cita"/>
        <w:rPr>
          <w:sz w:val="22"/>
        </w:rPr>
      </w:pPr>
      <w:r w:rsidRPr="005A11EA">
        <w:rPr>
          <w:sz w:val="22"/>
        </w:rPr>
        <w:t>E</w:t>
      </w:r>
      <w:r w:rsidR="00847E42" w:rsidRPr="005A11EA">
        <w:rPr>
          <w:sz w:val="22"/>
        </w:rPr>
        <w:t>l liberalismo, el arte liberal de gobernar, se verá forzado a determinar con exactitud en determinar con exactitud en qué medida y hasta qué punto, el interés individual, los diferentes intereses individuales en cuanto divergen unos de otros y eventualmente se oponen, no constituyen un peligro para el interés de todos</w:t>
      </w:r>
      <w:r w:rsidR="00F57543" w:rsidRPr="005A11EA">
        <w:rPr>
          <w:sz w:val="22"/>
        </w:rPr>
        <w:t xml:space="preserve"> proteger el interés colectivo contra los intereses individuales. A la inversa, lo mismo: habrá que proteger los </w:t>
      </w:r>
      <w:r w:rsidR="00F57543" w:rsidRPr="005A11EA">
        <w:rPr>
          <w:sz w:val="22"/>
        </w:rPr>
        <w:lastRenderedPageBreak/>
        <w:t>intereses individuales contra todo lo que pueda aparecer, en relación con ellos, como una intrusión procedente del interés colectivo. Será menester además que la libertad de los procesos económicos no represente un peligro, un peligro para las empresas, un peligro para los trabajadores. Y la libertad de estos últimos no debe convertirse en un peligro para la empresa y la producción. Es necesario que los accidentes individuales, todo lo que puede suceder en la vida de alguien, se trate de la enfermedad o de lo que llega de todas maneras y que es la vejez, no constituyan un peligro tanto para los individuos como para la sociedad.</w:t>
      </w:r>
      <w:sdt>
        <w:sdtPr>
          <w:rPr>
            <w:sz w:val="22"/>
          </w:rPr>
          <w:id w:val="87507917"/>
          <w:citation/>
        </w:sdtPr>
        <w:sdtContent>
          <w:r w:rsidR="004967BC" w:rsidRPr="005A11EA">
            <w:rPr>
              <w:sz w:val="22"/>
            </w:rPr>
            <w:fldChar w:fldCharType="begin"/>
          </w:r>
          <w:r w:rsidRPr="005A11EA">
            <w:rPr>
              <w:sz w:val="22"/>
            </w:rPr>
            <w:instrText xml:space="preserve">CITATION Mic07 \t  \l 9226 </w:instrText>
          </w:r>
          <w:r w:rsidR="004967BC" w:rsidRPr="005A11EA">
            <w:rPr>
              <w:sz w:val="22"/>
            </w:rPr>
            <w:fldChar w:fldCharType="separate"/>
          </w:r>
          <w:r w:rsidRPr="005A11EA">
            <w:rPr>
              <w:noProof/>
              <w:sz w:val="22"/>
            </w:rPr>
            <w:t xml:space="preserve"> (Foucault, 2007)</w:t>
          </w:r>
          <w:r w:rsidR="004967BC" w:rsidRPr="005A11EA">
            <w:rPr>
              <w:sz w:val="22"/>
            </w:rPr>
            <w:fldChar w:fldCharType="end"/>
          </w:r>
        </w:sdtContent>
      </w:sdt>
      <w:r w:rsidR="00847E42" w:rsidRPr="005A11EA">
        <w:rPr>
          <w:sz w:val="22"/>
        </w:rPr>
        <w:t xml:space="preserve"> </w:t>
      </w:r>
    </w:p>
    <w:p w:rsidR="00F57543" w:rsidRDefault="00B73242" w:rsidP="003D5798">
      <w:pPr>
        <w:pStyle w:val="NormalWeb"/>
        <w:spacing w:line="360" w:lineRule="auto"/>
        <w:rPr>
          <w:rFonts w:eastAsiaTheme="minorHAnsi"/>
          <w:lang w:eastAsia="en-US"/>
        </w:rPr>
      </w:pPr>
      <w:r>
        <w:rPr>
          <w:rFonts w:eastAsiaTheme="minorHAnsi"/>
          <w:lang w:eastAsia="en-US"/>
        </w:rPr>
        <w:t>Sobre esta cita es importante resaltar dos cosas. La primera, que e</w:t>
      </w:r>
      <w:r w:rsidR="003D5798" w:rsidRPr="003D5798">
        <w:rPr>
          <w:rFonts w:eastAsiaTheme="minorHAnsi"/>
          <w:lang w:eastAsia="en-US"/>
        </w:rPr>
        <w:t>l nuevo arte gubernamental será visto como un administrador de la libertad del sujeto, no con el fin de que “sea libre</w:t>
      </w:r>
      <w:r w:rsidR="00EC25BF" w:rsidRPr="003D5798">
        <w:rPr>
          <w:rFonts w:eastAsiaTheme="minorHAnsi"/>
          <w:lang w:eastAsia="en-US"/>
        </w:rPr>
        <w:t>”,</w:t>
      </w:r>
      <w:r w:rsidR="003D5798" w:rsidRPr="003D5798">
        <w:rPr>
          <w:rFonts w:eastAsiaTheme="minorHAnsi"/>
          <w:lang w:eastAsia="en-US"/>
        </w:rPr>
        <w:t xml:space="preserve"> sino que el individuo </w:t>
      </w:r>
      <w:r>
        <w:rPr>
          <w:rFonts w:eastAsiaTheme="minorHAnsi"/>
          <w:lang w:eastAsia="en-US"/>
        </w:rPr>
        <w:t>“</w:t>
      </w:r>
      <w:r w:rsidR="003D5798" w:rsidRPr="003D5798">
        <w:rPr>
          <w:rFonts w:eastAsiaTheme="minorHAnsi"/>
          <w:lang w:eastAsia="en-US"/>
        </w:rPr>
        <w:t xml:space="preserve">sea libre </w:t>
      </w:r>
      <w:r>
        <w:rPr>
          <w:rFonts w:eastAsiaTheme="minorHAnsi"/>
          <w:lang w:eastAsia="en-US"/>
        </w:rPr>
        <w:t>de forma segura”</w:t>
      </w:r>
      <w:r w:rsidR="003D5798" w:rsidRPr="003D5798">
        <w:rPr>
          <w:rFonts w:eastAsiaTheme="minorHAnsi"/>
          <w:lang w:eastAsia="en-US"/>
        </w:rPr>
        <w:t xml:space="preserve">. </w:t>
      </w:r>
      <w:r w:rsidR="00847E42">
        <w:rPr>
          <w:rFonts w:eastAsiaTheme="minorHAnsi"/>
          <w:lang w:eastAsia="en-US"/>
        </w:rPr>
        <w:t xml:space="preserve">Es por eso que el correlato de la libertad en el liberalismo es la seguridad. Libertad y seguridad no son opuestos en el liberalismo, sino que son codependientes. Si el liberalismo se ve envuelto en un juego de cálculo en relación con la libertad, para Foucault, la seguridad es el principio de cálculo de ese juego </w:t>
      </w:r>
      <w:sdt>
        <w:sdtPr>
          <w:rPr>
            <w:rFonts w:eastAsiaTheme="minorHAnsi"/>
            <w:lang w:eastAsia="en-US"/>
          </w:rPr>
          <w:id w:val="-125323284"/>
          <w:citation/>
        </w:sdtPr>
        <w:sdtContent>
          <w:r w:rsidR="004967BC">
            <w:rPr>
              <w:rFonts w:eastAsiaTheme="minorHAnsi"/>
              <w:lang w:eastAsia="en-US"/>
            </w:rPr>
            <w:fldChar w:fldCharType="begin"/>
          </w:r>
          <w:r w:rsidR="005A11EA">
            <w:rPr>
              <w:rFonts w:eastAsiaTheme="minorHAnsi"/>
              <w:lang w:eastAsia="en-US"/>
            </w:rPr>
            <w:instrText xml:space="preserve">CITATION Mic07 \p 80 \t  \l 9226 </w:instrText>
          </w:r>
          <w:r w:rsidR="004967BC">
            <w:rPr>
              <w:rFonts w:eastAsiaTheme="minorHAnsi"/>
              <w:lang w:eastAsia="en-US"/>
            </w:rPr>
            <w:fldChar w:fldCharType="separate"/>
          </w:r>
          <w:r w:rsidR="005A11EA" w:rsidRPr="005A11EA">
            <w:rPr>
              <w:rFonts w:eastAsiaTheme="minorHAnsi"/>
              <w:noProof/>
              <w:lang w:eastAsia="en-US"/>
            </w:rPr>
            <w:t>(Foucault, 2007, pág. 80)</w:t>
          </w:r>
          <w:r w:rsidR="004967BC">
            <w:rPr>
              <w:rFonts w:eastAsiaTheme="minorHAnsi"/>
              <w:lang w:eastAsia="en-US"/>
            </w:rPr>
            <w:fldChar w:fldCharType="end"/>
          </w:r>
        </w:sdtContent>
      </w:sdt>
      <w:r w:rsidR="00847E42">
        <w:rPr>
          <w:rFonts w:eastAsiaTheme="minorHAnsi"/>
          <w:lang w:eastAsia="en-US"/>
        </w:rPr>
        <w:t xml:space="preserve">. </w:t>
      </w:r>
      <w:r>
        <w:rPr>
          <w:rFonts w:eastAsiaTheme="minorHAnsi"/>
          <w:lang w:eastAsia="en-US"/>
        </w:rPr>
        <w:t xml:space="preserve">La segunda cosa a resaltar es el papel que juega la noción de peligro en ese juego, el peligro es el mediador y aquel que produce la tensión que hace necesario el juego de libertad/seguridad. </w:t>
      </w:r>
    </w:p>
    <w:p w:rsidR="006F3D7A" w:rsidRDefault="00B73242" w:rsidP="006F3D7A">
      <w:pPr>
        <w:rPr>
          <w:rFonts w:ascii="Garamond" w:hAnsi="Garamond" w:cs="Garamond"/>
          <w:sz w:val="20"/>
          <w:szCs w:val="20"/>
        </w:rPr>
      </w:pPr>
      <w:r>
        <w:t xml:space="preserve">Si el Estado es necesario en el liberalismo es porque debe crear y mantener aquellos dispositivos que permiten que el individuo sea libre, </w:t>
      </w:r>
      <w:r w:rsidR="00560C16">
        <w:t xml:space="preserve">pero </w:t>
      </w:r>
      <w:r>
        <w:t>que pueda al mismo tiempo evadir los peligros con los que se encuentra</w:t>
      </w:r>
      <w:r w:rsidR="00560C16">
        <w:t xml:space="preserve"> ejerciendo esa libertad</w:t>
      </w:r>
      <w:r>
        <w:t xml:space="preserve">, </w:t>
      </w:r>
      <w:r w:rsidR="00560C16">
        <w:t xml:space="preserve">y esto </w:t>
      </w:r>
      <w:r>
        <w:t xml:space="preserve">teniendo en cuenta que el primer peligro </w:t>
      </w:r>
      <w:r w:rsidR="00F57543">
        <w:t xml:space="preserve">será siempre otro individuo, otro representante de la especie u otro miembro de la población, o </w:t>
      </w:r>
      <w:r w:rsidR="00F57543" w:rsidRPr="006F3D7A">
        <w:t>la población misma como colectivo, o una parte de ese colectivo.</w:t>
      </w:r>
      <w:r w:rsidR="00560C16" w:rsidRPr="006F3D7A">
        <w:t xml:space="preserve"> </w:t>
      </w:r>
      <w:r w:rsidR="006F3D7A" w:rsidRPr="006F3D7A">
        <w:t xml:space="preserve">De esta forma, según Foucault, </w:t>
      </w:r>
      <w:r w:rsidR="006F3D7A">
        <w:t>el liberalismo desarrolla</w:t>
      </w:r>
      <w:r w:rsidR="005A1AF8">
        <w:t>, a partir de los diferentes dispositivos de poder disponibles (disciplina y seguridad)</w:t>
      </w:r>
      <w:r w:rsidR="006F3D7A">
        <w:t xml:space="preserve"> toda una cultura moderna del peligro como pieza esencial de su manera de gobernar.</w:t>
      </w:r>
    </w:p>
    <w:p w:rsidR="00560C16" w:rsidRPr="005A11EA" w:rsidRDefault="006F3D7A" w:rsidP="006F3D7A">
      <w:pPr>
        <w:pStyle w:val="Cita"/>
        <w:rPr>
          <w:sz w:val="22"/>
        </w:rPr>
      </w:pPr>
      <w:r w:rsidRPr="005A11EA">
        <w:rPr>
          <w:sz w:val="22"/>
        </w:rPr>
        <w:lastRenderedPageBreak/>
        <w:t>En efecto, en el siglo XIX aparece toda una educación del peligro, toda una cultura del peligro que es muy diferente de esos grandes sueños o esas grandes amenazas apocalípticas como la peste, la muerte, la guerra, de las que se alimentaba la imaginación política y cosmológica de la Edad Media e incluso del siglo XVII. Desaparición de los jinetes del Apocalipsis y, al contrario, aparición, surgimiento, invasión de los peligros cotidianos, peligros cotidianos perpetuamente animados, reactualizados, puestos en circulación, entonces, por lo que podríamos llamar la cultura d</w:t>
      </w:r>
      <w:r w:rsidR="005A11EA" w:rsidRPr="005A11EA">
        <w:rPr>
          <w:sz w:val="22"/>
        </w:rPr>
        <w:t xml:space="preserve">el peligro en el siglo XIX </w:t>
      </w:r>
      <w:sdt>
        <w:sdtPr>
          <w:rPr>
            <w:sz w:val="22"/>
          </w:rPr>
          <w:id w:val="452070248"/>
          <w:citation/>
        </w:sdtPr>
        <w:sdtContent>
          <w:r w:rsidR="004967BC" w:rsidRPr="005A11EA">
            <w:rPr>
              <w:sz w:val="22"/>
            </w:rPr>
            <w:fldChar w:fldCharType="begin"/>
          </w:r>
          <w:r w:rsidR="005A11EA" w:rsidRPr="005A11EA">
            <w:rPr>
              <w:sz w:val="22"/>
            </w:rPr>
            <w:instrText xml:space="preserve">CITATION Mic07 \t  \l 9226 </w:instrText>
          </w:r>
          <w:r w:rsidR="004967BC" w:rsidRPr="005A11EA">
            <w:rPr>
              <w:sz w:val="22"/>
            </w:rPr>
            <w:fldChar w:fldCharType="separate"/>
          </w:r>
          <w:r w:rsidR="005A11EA" w:rsidRPr="005A11EA">
            <w:rPr>
              <w:noProof/>
              <w:sz w:val="22"/>
            </w:rPr>
            <w:t>(Foucault, 2007)</w:t>
          </w:r>
          <w:r w:rsidR="004967BC" w:rsidRPr="005A11EA">
            <w:rPr>
              <w:sz w:val="22"/>
            </w:rPr>
            <w:fldChar w:fldCharType="end"/>
          </w:r>
        </w:sdtContent>
      </w:sdt>
    </w:p>
    <w:p w:rsidR="005B00D0" w:rsidRDefault="005A1AF8" w:rsidP="005B00D0">
      <w:pPr>
        <w:pStyle w:val="NormalWeb"/>
        <w:spacing w:line="360" w:lineRule="auto"/>
        <w:rPr>
          <w:rFonts w:eastAsiaTheme="minorHAnsi"/>
          <w:i/>
          <w:lang w:eastAsia="en-US"/>
        </w:rPr>
      </w:pPr>
      <w:r>
        <w:rPr>
          <w:rFonts w:eastAsiaTheme="minorHAnsi"/>
          <w:lang w:eastAsia="en-US"/>
        </w:rPr>
        <w:t>Como ya se ha mencionado</w:t>
      </w:r>
      <w:r w:rsidR="008816F4">
        <w:rPr>
          <w:rFonts w:eastAsiaTheme="minorHAnsi"/>
          <w:lang w:eastAsia="en-US"/>
        </w:rPr>
        <w:t xml:space="preserve"> una de las primeras fuentes de peligro siempre es otro individuo. De tal manera que el liberalismo desarrolla con más fuerza un concepto propio de la sociedad disciplinar: la peligrosidad. A partir de esta idea el sujeto no es castigado jurídicamente por el delito cometido, sino que se ve su cuerpo como una fuente de peligros posibles que debe ser corregida o contenida. Los dispositivos de poder disciplinares fueron en parte creados alrededor de ese concepto</w:t>
      </w:r>
      <w:r w:rsidR="00A35840">
        <w:rPr>
          <w:rFonts w:eastAsiaTheme="minorHAnsi"/>
          <w:lang w:eastAsia="en-US"/>
        </w:rPr>
        <w:t xml:space="preserve"> rector,</w:t>
      </w:r>
      <w:r w:rsidR="008816F4" w:rsidRPr="00737743">
        <w:rPr>
          <w:rFonts w:eastAsiaTheme="minorHAnsi"/>
          <w:i/>
          <w:lang w:eastAsia="en-US"/>
        </w:rPr>
        <w:t xml:space="preserve"> </w:t>
      </w:r>
      <w:sdt>
        <w:sdtPr>
          <w:rPr>
            <w:rFonts w:eastAsiaTheme="minorHAnsi"/>
            <w:lang w:eastAsia="en-US"/>
          </w:rPr>
          <w:id w:val="87507955"/>
          <w:citation/>
        </w:sdtPr>
        <w:sdtContent>
          <w:r w:rsidR="004967BC">
            <w:rPr>
              <w:rFonts w:eastAsiaTheme="minorHAnsi"/>
              <w:lang w:eastAsia="en-US"/>
            </w:rPr>
            <w:fldChar w:fldCharType="begin"/>
          </w:r>
          <w:r w:rsidR="00263B9A">
            <w:rPr>
              <w:rFonts w:eastAsiaTheme="minorHAnsi"/>
              <w:lang w:eastAsia="en-US"/>
            </w:rPr>
            <w:instrText xml:space="preserve">CITATION Fou00 \p 40 \t  \l 9226 </w:instrText>
          </w:r>
          <w:r w:rsidR="004967BC">
            <w:rPr>
              <w:rFonts w:eastAsiaTheme="minorHAnsi"/>
              <w:lang w:eastAsia="en-US"/>
            </w:rPr>
            <w:fldChar w:fldCharType="separate"/>
          </w:r>
          <w:r w:rsidR="00263B9A" w:rsidRPr="00263B9A">
            <w:rPr>
              <w:rFonts w:eastAsiaTheme="minorHAnsi"/>
              <w:noProof/>
              <w:lang w:eastAsia="en-US"/>
            </w:rPr>
            <w:t>(Foucault, 2000, pág. 40)</w:t>
          </w:r>
          <w:r w:rsidR="004967BC">
            <w:rPr>
              <w:rFonts w:eastAsiaTheme="minorHAnsi"/>
              <w:lang w:eastAsia="en-US"/>
            </w:rPr>
            <w:fldChar w:fldCharType="end"/>
          </w:r>
        </w:sdtContent>
      </w:sdt>
      <w:r w:rsidR="00A35840">
        <w:rPr>
          <w:rFonts w:eastAsiaTheme="minorHAnsi"/>
          <w:lang w:eastAsia="en-US"/>
        </w:rPr>
        <w:t xml:space="preserve">, y a partir de aquí, se desarrolló esta idea para ser inserta en la sociedades de seguridad, ya que aquí </w:t>
      </w:r>
      <w:r w:rsidR="00A35840" w:rsidRPr="00CE326B">
        <w:rPr>
          <w:rFonts w:eastAsiaTheme="minorHAnsi"/>
          <w:i/>
          <w:lang w:eastAsia="en-US"/>
        </w:rPr>
        <w:t xml:space="preserve">“el individuo debe ser considerado por la sociedad en razón de sus virtualidades y no tanto en razón de sus actos, de infracciones de hecho a una ley efectiva, sino en función de las virtualidades de comportamiento que esas infracciones representan” </w:t>
      </w:r>
      <w:sdt>
        <w:sdtPr>
          <w:rPr>
            <w:rFonts w:eastAsiaTheme="minorHAnsi"/>
            <w:i/>
            <w:lang w:eastAsia="en-US"/>
          </w:rPr>
          <w:id w:val="87507933"/>
          <w:citation/>
        </w:sdtPr>
        <w:sdtContent>
          <w:r w:rsidR="004967BC">
            <w:rPr>
              <w:rFonts w:eastAsiaTheme="minorHAnsi"/>
              <w:i/>
              <w:lang w:eastAsia="en-US"/>
            </w:rPr>
            <w:fldChar w:fldCharType="begin"/>
          </w:r>
          <w:r w:rsidR="005A11EA">
            <w:rPr>
              <w:rFonts w:eastAsiaTheme="minorHAnsi"/>
              <w:i/>
              <w:lang w:eastAsia="en-US"/>
            </w:rPr>
            <w:instrText xml:space="preserve">CITATION Mic07 \p 214 \t  \l 9226 </w:instrText>
          </w:r>
          <w:r w:rsidR="004967BC">
            <w:rPr>
              <w:rFonts w:eastAsiaTheme="minorHAnsi"/>
              <w:i/>
              <w:lang w:eastAsia="en-US"/>
            </w:rPr>
            <w:fldChar w:fldCharType="separate"/>
          </w:r>
          <w:r w:rsidR="005A11EA" w:rsidRPr="005A11EA">
            <w:rPr>
              <w:rFonts w:eastAsiaTheme="minorHAnsi"/>
              <w:noProof/>
              <w:lang w:eastAsia="en-US"/>
            </w:rPr>
            <w:t>(Foucault, 2007, pág. 214)</w:t>
          </w:r>
          <w:r w:rsidR="004967BC">
            <w:rPr>
              <w:rFonts w:eastAsiaTheme="minorHAnsi"/>
              <w:i/>
              <w:lang w:eastAsia="en-US"/>
            </w:rPr>
            <w:fldChar w:fldCharType="end"/>
          </w:r>
        </w:sdtContent>
      </w:sdt>
      <w:r w:rsidR="00A35840">
        <w:rPr>
          <w:rFonts w:eastAsiaTheme="minorHAnsi"/>
          <w:i/>
          <w:lang w:eastAsia="en-US"/>
        </w:rPr>
        <w:t xml:space="preserve">. </w:t>
      </w:r>
      <w:r w:rsidR="005B00D0">
        <w:rPr>
          <w:rFonts w:eastAsiaTheme="minorHAnsi"/>
          <w:i/>
          <w:lang w:eastAsia="en-US"/>
        </w:rPr>
        <w:t xml:space="preserve"> </w:t>
      </w:r>
    </w:p>
    <w:p w:rsidR="005B00D0" w:rsidRDefault="00A35840" w:rsidP="005B00D0">
      <w:pPr>
        <w:pStyle w:val="NormalWeb"/>
        <w:spacing w:line="360" w:lineRule="auto"/>
      </w:pPr>
      <w:r w:rsidRPr="00A35840">
        <w:rPr>
          <w:rFonts w:eastAsiaTheme="minorHAnsi"/>
          <w:lang w:eastAsia="en-US"/>
        </w:rPr>
        <w:t>Los peligros</w:t>
      </w:r>
      <w:r>
        <w:rPr>
          <w:rFonts w:eastAsiaTheme="minorHAnsi"/>
          <w:lang w:eastAsia="en-US"/>
        </w:rPr>
        <w:t xml:space="preserve">, sean o no encarnados en </w:t>
      </w:r>
      <w:r w:rsidRPr="005B00D0">
        <w:rPr>
          <w:rFonts w:eastAsiaTheme="minorHAnsi"/>
        </w:rPr>
        <w:t xml:space="preserve">un sujeto, tienen otra característica importante, como ya se ha mencionado. Son peligros que no provienen de situaciones extremas o de amenazas teológicas. Son peligros que el individuo o el sujeto se encuentra a diario, en su cotidianidad, que rodean su vida desde su propio centro: la muerte, el crimen, el robo, el asesinato, la enfermedad, las actividades sexuales que pueden traerle infecciones de todos los tipos, las cajas de ahorros que pueden llevar a especulaciones que acaben con la fortuna de un hombre en segundos, las bacterias y los virus, la toxoplasmosis, el tétano, el sida, la homosexualidad, la degeneración, </w:t>
      </w:r>
      <w:r w:rsidR="0031036C">
        <w:rPr>
          <w:rFonts w:eastAsiaTheme="minorHAnsi"/>
        </w:rPr>
        <w:t xml:space="preserve">los judíos, los inmigrantes, </w:t>
      </w:r>
      <w:r w:rsidRPr="005B00D0">
        <w:rPr>
          <w:rFonts w:eastAsiaTheme="minorHAnsi"/>
        </w:rPr>
        <w:t>las drogas</w:t>
      </w:r>
      <w:r w:rsidR="005B00D0" w:rsidRPr="005B00D0">
        <w:rPr>
          <w:rFonts w:eastAsiaTheme="minorHAnsi"/>
        </w:rPr>
        <w:t xml:space="preserve">, los </w:t>
      </w:r>
      <w:r w:rsidR="005B00D0" w:rsidRPr="005B00D0">
        <w:rPr>
          <w:rFonts w:eastAsiaTheme="minorHAnsi"/>
        </w:rPr>
        <w:lastRenderedPageBreak/>
        <w:t>excesos en la dieta, el ejercicio excesivo, la falta de ejercicio, los secuestros, las bombas, el cáncer y sus detonantes, los ataques informáticos, las redes sociales, los hábitos insanos, la prostitución, la promiscuidad, el aborto, la degeneración de la raza, la degeneración de la especie.</w:t>
      </w:r>
      <w:r w:rsidRPr="005B00D0">
        <w:rPr>
          <w:rFonts w:eastAsiaTheme="minorHAnsi"/>
        </w:rPr>
        <w:t xml:space="preserve"> </w:t>
      </w:r>
      <w:r w:rsidR="005B00D0" w:rsidRPr="005B00D0">
        <w:t xml:space="preserve">De esta forma, </w:t>
      </w:r>
      <w:r w:rsidR="005B00D0" w:rsidRPr="005A11EA">
        <w:rPr>
          <w:i/>
        </w:rPr>
        <w:t>“vemos en todas partes esa estimulación del temor al peligro que en cierto modo es la condición, el correlato psicológico y cultural interno del liberalismo. No hay liberalismo sin cultura del peligro”</w:t>
      </w:r>
      <w:sdt>
        <w:sdtPr>
          <w:rPr>
            <w:i/>
          </w:rPr>
          <w:id w:val="287094757"/>
          <w:citation/>
        </w:sdtPr>
        <w:sdtContent>
          <w:r w:rsidR="004967BC">
            <w:rPr>
              <w:i/>
            </w:rPr>
            <w:fldChar w:fldCharType="begin"/>
          </w:r>
          <w:r w:rsidR="005A11EA">
            <w:rPr>
              <w:i/>
            </w:rPr>
            <w:instrText xml:space="preserve">CITATION Mic07 \p 82 \t  \l 9226 </w:instrText>
          </w:r>
          <w:r w:rsidR="004967BC">
            <w:rPr>
              <w:i/>
            </w:rPr>
            <w:fldChar w:fldCharType="separate"/>
          </w:r>
          <w:r w:rsidR="005A11EA">
            <w:rPr>
              <w:i/>
              <w:noProof/>
            </w:rPr>
            <w:t xml:space="preserve"> </w:t>
          </w:r>
          <w:r w:rsidR="005A11EA">
            <w:rPr>
              <w:noProof/>
            </w:rPr>
            <w:t>(Foucault, 2007, pág. 82)</w:t>
          </w:r>
          <w:r w:rsidR="004967BC">
            <w:rPr>
              <w:i/>
            </w:rPr>
            <w:fldChar w:fldCharType="end"/>
          </w:r>
        </w:sdtContent>
      </w:sdt>
      <w:r w:rsidR="005A11EA">
        <w:t xml:space="preserve"> .</w:t>
      </w:r>
    </w:p>
    <w:p w:rsidR="0057241C" w:rsidRPr="001C35F9" w:rsidRDefault="0057241C" w:rsidP="0057241C">
      <w:pPr>
        <w:keepNext/>
        <w:keepLines/>
        <w:spacing w:before="360" w:after="360" w:line="257" w:lineRule="auto"/>
        <w:ind w:firstLine="0"/>
        <w:outlineLvl w:val="2"/>
        <w:rPr>
          <w:rFonts w:cstheme="majorBidi"/>
          <w:i/>
          <w:szCs w:val="24"/>
        </w:rPr>
      </w:pPr>
      <w:bookmarkStart w:id="17" w:name="_Toc12899010"/>
      <w:bookmarkStart w:id="18" w:name="_Hlk1660132"/>
      <w:r w:rsidRPr="001C35F9">
        <w:rPr>
          <w:rFonts w:cstheme="majorBidi"/>
          <w:i/>
          <w:szCs w:val="24"/>
        </w:rPr>
        <w:t>3.</w:t>
      </w:r>
      <w:r>
        <w:rPr>
          <w:rFonts w:cstheme="majorBidi"/>
          <w:i/>
          <w:szCs w:val="24"/>
        </w:rPr>
        <w:t>2</w:t>
      </w:r>
      <w:r w:rsidRPr="001C35F9">
        <w:rPr>
          <w:rFonts w:cstheme="majorBidi"/>
          <w:i/>
          <w:szCs w:val="24"/>
        </w:rPr>
        <w:t xml:space="preserve"> </w:t>
      </w:r>
      <w:r>
        <w:rPr>
          <w:rFonts w:cstheme="majorBidi"/>
          <w:i/>
          <w:szCs w:val="24"/>
        </w:rPr>
        <w:t xml:space="preserve">Naturalidad del acontecimiento. </w:t>
      </w:r>
      <w:r w:rsidRPr="001C35F9">
        <w:rPr>
          <w:rFonts w:cstheme="majorBidi"/>
          <w:i/>
          <w:szCs w:val="24"/>
        </w:rPr>
        <w:t>Aleatoriedad y estadística del peligro</w:t>
      </w:r>
      <w:bookmarkEnd w:id="17"/>
      <w:r>
        <w:rPr>
          <w:rFonts w:cstheme="majorBidi"/>
          <w:i/>
          <w:szCs w:val="24"/>
        </w:rPr>
        <w:t xml:space="preserve"> </w:t>
      </w:r>
    </w:p>
    <w:bookmarkEnd w:id="18"/>
    <w:p w:rsidR="00D76E16" w:rsidRDefault="00EC695C" w:rsidP="00517BEC">
      <w:pPr>
        <w:pStyle w:val="NormalWeb"/>
        <w:spacing w:line="360" w:lineRule="auto"/>
      </w:pPr>
      <w:r>
        <w:t>Habíamos mencionado antes que lo propio del liberalismo es que parte de un tipo de saber, un tipo de conocimiento a partir del cual ciertos acontecimientos se ven como naturales</w:t>
      </w:r>
      <w:r w:rsidR="00D76E16">
        <w:t>. La naturalidad de los hechos del mercado sin embargo no debe ser vista como aislada de otros procesos naturales. El mercado depende de los seres humanos, y su salud, su número, sus hábitos influyen directamente en el mercado, por tanto, hacen parte en sí mismos de aquella naturalidad que sirve como</w:t>
      </w:r>
      <w:r>
        <w:t xml:space="preserve"> </w:t>
      </w:r>
      <w:r w:rsidR="00D76E16">
        <w:t>límite de la acción de gobernar. Esto quiere decir que otra característica de los peligros como articuladores de la relación entre libertad y seguridad en el liberalismo es que son vistos como ordinarios y también como naturales. La naturalidad del peligro es parte esencial de esta noción. Esto quiere decir que los peligros ocurren, son acontecimientos inevitables, así como la muerte es parte de la vida, la vida misma del sujeto</w:t>
      </w:r>
      <w:r w:rsidR="00585E6F">
        <w:t xml:space="preserve"> está </w:t>
      </w:r>
      <w:r w:rsidR="00883B67">
        <w:t>sujeta</w:t>
      </w:r>
      <w:r w:rsidR="00585E6F">
        <w:t xml:space="preserve"> a ciertos acontecimientos naturales. </w:t>
      </w:r>
      <w:r w:rsidR="00517BEC" w:rsidRPr="003D5798">
        <w:rPr>
          <w:rFonts w:eastAsiaTheme="minorHAnsi"/>
          <w:lang w:eastAsia="en-US"/>
        </w:rPr>
        <w:t xml:space="preserve">Si escasean los granos, el Estado se ve en la obligación de realizar un aumento a los precios de estos. Entendiendo la escasez como un acontecimiento natural, al igual que la sequía, las heladas y hasta el exceso de humedad, entre otros factores. El acontecimiento es un concepto que va más allá de lo moral, lo político y hasta lo cosmológico. </w:t>
      </w:r>
      <w:r w:rsidR="00585E6F">
        <w:t>La enfermedad no es vista como un mal</w:t>
      </w:r>
      <w:r w:rsidR="002D77E1">
        <w:t xml:space="preserve"> o como un castigo que proviene de un poder espiritual superior</w:t>
      </w:r>
      <w:r w:rsidR="00585E6F">
        <w:t>, sino como algo natural, algo que inevitablemente sucede.</w:t>
      </w:r>
      <w:r w:rsidR="002D77E1">
        <w:t xml:space="preserve"> Las epidemias suceden. La dificultad entonces no radica en anular la epidemia, pues eso es imposible. La idea es </w:t>
      </w:r>
      <w:r w:rsidR="004204EB">
        <w:t xml:space="preserve">en cambio tratarla con toda una economía del peligro. La epidemia llegará, lo importante es saber </w:t>
      </w:r>
      <w:r w:rsidR="00B8619F">
        <w:t>cuándo</w:t>
      </w:r>
      <w:r w:rsidR="004204EB">
        <w:t>, d</w:t>
      </w:r>
      <w:r w:rsidR="00B8619F">
        <w:t>ó</w:t>
      </w:r>
      <w:r w:rsidR="004204EB">
        <w:t xml:space="preserve">nde, </w:t>
      </w:r>
      <w:r w:rsidR="00012BAD">
        <w:t>cómo</w:t>
      </w:r>
      <w:r w:rsidR="004204EB">
        <w:t xml:space="preserve"> se propagará, </w:t>
      </w:r>
      <w:r w:rsidR="00B8619F">
        <w:t>cuál</w:t>
      </w:r>
      <w:r w:rsidR="004204EB">
        <w:t xml:space="preserve"> va a ser su impacto en la población (en la </w:t>
      </w:r>
      <w:r w:rsidR="004204EB">
        <w:lastRenderedPageBreak/>
        <w:t>economía), como puede reducirse este impacto,</w:t>
      </w:r>
      <w:r w:rsidR="00B8619F">
        <w:t xml:space="preserve"> cual es el nivel de aleatoriedad de su efecto que es posible reducir,</w:t>
      </w:r>
      <w:r w:rsidR="004204EB">
        <w:t xml:space="preserve"> cual es la media que la economía y la población puede soportar de la epidemia sin afectarse gravemente.</w:t>
      </w:r>
    </w:p>
    <w:p w:rsidR="00B8619F" w:rsidRPr="005A11EA" w:rsidRDefault="00B8619F" w:rsidP="00B8619F">
      <w:pPr>
        <w:pStyle w:val="Cita"/>
        <w:rPr>
          <w:sz w:val="22"/>
        </w:rPr>
      </w:pPr>
      <w:r w:rsidRPr="005A11EA">
        <w:rPr>
          <w:sz w:val="22"/>
        </w:rPr>
        <w:t xml:space="preserve">La seguridad tratará de acondicionar un medio en función de acontecimientos o series de acontecimientos o elementos posibles, series que será preciso regularizar en un marco polivalente y transformante. El espacio propio de la seguridad remite entonces a una serie de acontecimientos posibles, remite a lo temporal y a lo aleatorio, una temporalidad y una aleatoriedad que habrá que inscribir en un espacio dado”. </w:t>
      </w:r>
      <w:sdt>
        <w:sdtPr>
          <w:rPr>
            <w:sz w:val="22"/>
          </w:rPr>
          <w:id w:val="87507951"/>
          <w:citation/>
        </w:sdtPr>
        <w:sdtContent>
          <w:r w:rsidR="004967BC" w:rsidRPr="005A11EA">
            <w:rPr>
              <w:sz w:val="22"/>
            </w:rPr>
            <w:fldChar w:fldCharType="begin"/>
          </w:r>
          <w:r w:rsidR="005A11EA" w:rsidRPr="005A11EA">
            <w:rPr>
              <w:sz w:val="22"/>
            </w:rPr>
            <w:instrText xml:space="preserve">CITATION Fou96 \t  \l 9226 </w:instrText>
          </w:r>
          <w:r w:rsidR="004967BC" w:rsidRPr="005A11EA">
            <w:rPr>
              <w:sz w:val="22"/>
            </w:rPr>
            <w:fldChar w:fldCharType="separate"/>
          </w:r>
          <w:r w:rsidR="005A11EA" w:rsidRPr="005A11EA">
            <w:rPr>
              <w:noProof/>
              <w:sz w:val="22"/>
            </w:rPr>
            <w:t>(Foucault, 1996)</w:t>
          </w:r>
          <w:r w:rsidR="004967BC" w:rsidRPr="005A11EA">
            <w:rPr>
              <w:noProof/>
              <w:sz w:val="22"/>
            </w:rPr>
            <w:fldChar w:fldCharType="end"/>
          </w:r>
        </w:sdtContent>
      </w:sdt>
    </w:p>
    <w:p w:rsidR="00B8619F" w:rsidRDefault="00B8619F" w:rsidP="00B8619F">
      <w:r>
        <w:t>Lo mismo sucede con la criminalidad. Partiendo del supuesto que es natural e imposible de evitarse, lo importante es “</w:t>
      </w:r>
      <w:r w:rsidRPr="00263B9A">
        <w:rPr>
          <w:i/>
        </w:rPr>
        <w:t>introducir el fenómeno dentro de una serie de acontecimientos probables</w:t>
      </w:r>
      <w:r>
        <w:t>”</w:t>
      </w:r>
      <w:sdt>
        <w:sdtPr>
          <w:id w:val="-1043511749"/>
          <w:citation/>
        </w:sdtPr>
        <w:sdtContent>
          <w:r w:rsidR="004967BC">
            <w:fldChar w:fldCharType="begin"/>
          </w:r>
          <w:r w:rsidR="00263B9A">
            <w:instrText xml:space="preserve">CITATION Mic06 \p 16 \t  \l 9226 </w:instrText>
          </w:r>
          <w:r w:rsidR="004967BC">
            <w:fldChar w:fldCharType="separate"/>
          </w:r>
          <w:r w:rsidR="00263B9A">
            <w:rPr>
              <w:noProof/>
            </w:rPr>
            <w:t xml:space="preserve"> (Foucault, 2006, pág. 16)</w:t>
          </w:r>
          <w:r w:rsidR="004967BC">
            <w:fldChar w:fldCharType="end"/>
          </w:r>
        </w:sdtContent>
      </w:sdt>
      <w:r>
        <w:t xml:space="preserve">. </w:t>
      </w:r>
      <w:r w:rsidR="00012BAD">
        <w:t xml:space="preserve">Así, es necesario prever de forma estadística la aparición del acontecimiento, y realizar un cálculo de costos que permita mantener el acontecimiento controlado, pero que no afecte </w:t>
      </w:r>
      <w:r w:rsidR="000E7C42">
        <w:t xml:space="preserve">los costos de su control a </w:t>
      </w:r>
      <w:r w:rsidR="00012BAD">
        <w:t xml:space="preserve">los demás procesos del mercado y de la población. </w:t>
      </w:r>
    </w:p>
    <w:p w:rsidR="00012BAD" w:rsidRDefault="00012BAD" w:rsidP="00012BAD">
      <w:pPr>
        <w:pStyle w:val="Cita"/>
      </w:pPr>
      <w:r>
        <w:t xml:space="preserve">¿Es más costosa una represión severa y rigurosa, una represión blanda, una represión de tipo ejemplar y discontinuo o, al contrario, una represión continua? ¿Cuál es, entonces, el costo comparado del robo </w:t>
      </w:r>
      <w:r>
        <w:rPr>
          <w:rFonts w:ascii="TimesNewRomanPS-ItalicMT" w:hAnsi="TimesNewRomanPS-ItalicMT" w:cs="TimesNewRomanPS-ItalicMT"/>
        </w:rPr>
        <w:t xml:space="preserve">y </w:t>
      </w:r>
      <w:r>
        <w:t xml:space="preserve">su represión? ¿Qué vale más: aflojar un poco el robo o la represión? Otros interrogantes: una vez que el culpable es detenido, ¿vale la pena castigarlo? ¿Cuánto costaría hacerlo? ¿Qué habría que hacer para castigarlo y, de ese modo, reeducarlo? ¿Es efectivamente reeducable? ¿Representa, al margen del acto concreto que ha cometido, un peligro permanente, de manera que, reeducado o no, va a volver a hacerlo, etc.? En términos generales, el interrogante será, en el fondo, cómo mantener un tipo de criminalidad, digamos el robo, dentro de límites que sean social y económicamente aceptables y alrededor de una </w:t>
      </w:r>
      <w:r>
        <w:lastRenderedPageBreak/>
        <w:t>media que se considere, por decirlo de algún modo, óptima para un funcionamiento social dado.</w:t>
      </w:r>
      <w:sdt>
        <w:sdtPr>
          <w:id w:val="1139694187"/>
          <w:citation/>
        </w:sdtPr>
        <w:sdtContent>
          <w:r w:rsidR="004967BC">
            <w:fldChar w:fldCharType="begin"/>
          </w:r>
          <w:r w:rsidR="00263B9A">
            <w:instrText xml:space="preserve">CITATION Mic06 \t  \l 9226 </w:instrText>
          </w:r>
          <w:r w:rsidR="004967BC">
            <w:fldChar w:fldCharType="separate"/>
          </w:r>
          <w:r w:rsidR="00263B9A">
            <w:rPr>
              <w:noProof/>
            </w:rPr>
            <w:t xml:space="preserve"> (Foucault, 2006)</w:t>
          </w:r>
          <w:r w:rsidR="004967BC">
            <w:fldChar w:fldCharType="end"/>
          </w:r>
        </w:sdtContent>
      </w:sdt>
    </w:p>
    <w:p w:rsidR="00B8619F" w:rsidRDefault="00517BEC" w:rsidP="00B8619F">
      <w:r>
        <w:t xml:space="preserve">Este cálculo de costos alrededor del peligro y su aparición nos lleva directamente a la noción de riesgo </w:t>
      </w:r>
      <w:sdt>
        <w:sdtPr>
          <w:id w:val="164909153"/>
          <w:citation/>
        </w:sdtPr>
        <w:sdtContent>
          <w:r w:rsidR="004967BC">
            <w:fldChar w:fldCharType="begin"/>
          </w:r>
          <w:r w:rsidR="00263B9A">
            <w:instrText xml:space="preserve">CITATION Mic06 \t  \l 9226 </w:instrText>
          </w:r>
          <w:r w:rsidR="004967BC">
            <w:fldChar w:fldCharType="separate"/>
          </w:r>
          <w:r w:rsidR="00263B9A">
            <w:rPr>
              <w:noProof/>
            </w:rPr>
            <w:t>(Foucault, 2006)</w:t>
          </w:r>
          <w:r w:rsidR="004967BC">
            <w:fldChar w:fldCharType="end"/>
          </w:r>
        </w:sdtContent>
      </w:sdt>
      <w:r w:rsidR="00263B9A">
        <w:t>.</w:t>
      </w:r>
      <w:r w:rsidR="00674746">
        <w:t xml:space="preserve"> </w:t>
      </w:r>
      <w:r>
        <w:t>El riesgo es algo así como la mano invisible del peligro que se extiende más allá de su aparición efectiva. La noción de riesgo vuelve al peligro algo no que no sólo puede acontecer, sino que está por acontecer, dependiendo de ciertos elementos o conductas. El juego de liber</w:t>
      </w:r>
      <w:r w:rsidR="000E7C42">
        <w:t xml:space="preserve">tad/seguridad utiliza la noción de riesgo a su favor, extendiendo de esa manera las dinámicas de poder al interior de una población. </w:t>
      </w:r>
    </w:p>
    <w:p w:rsidR="000E7C42" w:rsidRDefault="000E7C42" w:rsidP="00B8619F">
      <w:r>
        <w:t xml:space="preserve">El juego estadístico tiene un fundamento que se relaciona directamente con la conexión entre vida y muerte que analizamos en el capítulo pasado. El peligro se inserta en la vida de la población de la misma forma que la muerte (siendo la muerte un peligro). </w:t>
      </w:r>
      <w:r w:rsidR="004E24F0">
        <w:t>También está ligada con la noción de racismo.</w:t>
      </w:r>
      <w:r>
        <w:t xml:space="preserve"> </w:t>
      </w:r>
      <w:r w:rsidR="004E24F0">
        <w:t>No se espera que una desaparición de la muerte o la enfermedad. Lo que se espera es que los muertos y los enfermos lo sean para proteger la población de su catástrofe, degeneración o desaparición. No se trata de</w:t>
      </w:r>
      <w:r w:rsidR="00674746">
        <w:t>:</w:t>
      </w:r>
      <w:r w:rsidR="004E24F0">
        <w:t xml:space="preserve"> </w:t>
      </w:r>
    </w:p>
    <w:p w:rsidR="004E24F0" w:rsidRDefault="00674746" w:rsidP="004E24F0">
      <w:pPr>
        <w:pStyle w:val="Cita"/>
      </w:pPr>
      <w:r>
        <w:t>D</w:t>
      </w:r>
      <w:r w:rsidR="004E24F0">
        <w:t xml:space="preserve">istinguir entre enfermos y no enfermos, sino en tomar en cuenta el conjunto sin discontinuidad, sin ruptura, de unos y otros - la </w:t>
      </w:r>
      <w:r>
        <w:t>población</w:t>
      </w:r>
      <w:r w:rsidR="004E24F0">
        <w:t xml:space="preserve">, en suma-, y ver en esa </w:t>
      </w:r>
      <w:r>
        <w:t>población</w:t>
      </w:r>
      <w:r w:rsidR="004E24F0">
        <w:t xml:space="preserve"> cuales son los coeficientes de morbilidad o de mortalidad probables, es decir, lo que se espera normalmente en materia de afectados por la enfermedad, en materia de muerte</w:t>
      </w:r>
      <w:r>
        <w:t xml:space="preserve"> ligada a esta en esa población.</w:t>
      </w:r>
      <w:sdt>
        <w:sdtPr>
          <w:id w:val="1566367782"/>
          <w:citation/>
        </w:sdtPr>
        <w:sdtContent>
          <w:r w:rsidR="004967BC">
            <w:fldChar w:fldCharType="begin"/>
          </w:r>
          <w:r>
            <w:instrText xml:space="preserve">CITATION Mic06 \t  \l 9226 </w:instrText>
          </w:r>
          <w:r w:rsidR="004967BC">
            <w:fldChar w:fldCharType="separate"/>
          </w:r>
          <w:r>
            <w:rPr>
              <w:noProof/>
            </w:rPr>
            <w:t xml:space="preserve"> (Foucault, 2006)</w:t>
          </w:r>
          <w:r w:rsidR="004967BC">
            <w:fldChar w:fldCharType="end"/>
          </w:r>
        </w:sdtContent>
      </w:sdt>
      <w:r w:rsidR="004E24F0">
        <w:t>.</w:t>
      </w:r>
    </w:p>
    <w:p w:rsidR="00EC2A5D" w:rsidRPr="003D5798" w:rsidRDefault="004E24F0" w:rsidP="00EC2A5D">
      <w:pPr>
        <w:pStyle w:val="NormalWeb"/>
        <w:spacing w:line="360" w:lineRule="auto"/>
        <w:rPr>
          <w:rFonts w:eastAsiaTheme="minorHAnsi"/>
          <w:lang w:eastAsia="en-US"/>
        </w:rPr>
      </w:pPr>
      <w:r>
        <w:t xml:space="preserve">Desde este punto de vista se entiende </w:t>
      </w:r>
      <w:r w:rsidR="00EC2A5D">
        <w:t xml:space="preserve">que haya un cambio en relación con la guerra. No se trata solamente ya de defender la sociedad contra sus enemigos externos. Defender la sociedad es entendido ahora como un ejercicio no sólo político, sino biológico, se trata ahora de una guerra interna contra la sociedad misma, contra los enemigos que se producen naturalmente en su interior. Volvemos de nuevo a esa distinción entre lo que debe vivir, y lo que debe morir </w:t>
      </w:r>
      <w:r w:rsidR="00EC2A5D">
        <w:lastRenderedPageBreak/>
        <w:t>para que aquello pueda vivir,</w:t>
      </w:r>
      <w:r w:rsidR="00EC2A5D" w:rsidRPr="00EC2A5D">
        <w:rPr>
          <w:rFonts w:eastAsiaTheme="minorHAnsi"/>
          <w:i/>
          <w:lang w:eastAsia="en-US"/>
        </w:rPr>
        <w:t xml:space="preserve"> </w:t>
      </w:r>
      <w:r w:rsidR="00EC2A5D" w:rsidRPr="0007019B">
        <w:rPr>
          <w:rFonts w:eastAsiaTheme="minorHAnsi"/>
          <w:i/>
          <w:lang w:eastAsia="en-US"/>
        </w:rPr>
        <w:t>“en la política se admitirá o incluso se reclamará, decidir cuál es la vida biológicamente mejor y cómo potencializarla a través del uso, la explotación o, cuando sea necesario, la muerte de los peores”</w:t>
      </w:r>
      <w:r w:rsidR="00EC2A5D" w:rsidRPr="003D5798">
        <w:rPr>
          <w:rFonts w:eastAsiaTheme="minorHAnsi"/>
          <w:lang w:eastAsia="en-US"/>
        </w:rPr>
        <w:t xml:space="preserve"> </w:t>
      </w:r>
      <w:sdt>
        <w:sdtPr>
          <w:rPr>
            <w:rFonts w:eastAsiaTheme="minorHAnsi"/>
            <w:lang w:eastAsia="en-US"/>
          </w:rPr>
          <w:id w:val="87507957"/>
          <w:citation/>
        </w:sdtPr>
        <w:sdtContent>
          <w:r w:rsidR="004967BC">
            <w:rPr>
              <w:rFonts w:eastAsiaTheme="minorHAnsi"/>
              <w:lang w:eastAsia="en-US"/>
            </w:rPr>
            <w:fldChar w:fldCharType="begin"/>
          </w:r>
          <w:r w:rsidR="00674746">
            <w:rPr>
              <w:rFonts w:eastAsiaTheme="minorHAnsi"/>
              <w:lang w:eastAsia="en-US"/>
            </w:rPr>
            <w:instrText xml:space="preserve">CITATION Mic06 \p 129 \t  \l 9226 </w:instrText>
          </w:r>
          <w:r w:rsidR="004967BC">
            <w:rPr>
              <w:rFonts w:eastAsiaTheme="minorHAnsi"/>
              <w:lang w:eastAsia="en-US"/>
            </w:rPr>
            <w:fldChar w:fldCharType="separate"/>
          </w:r>
          <w:r w:rsidR="00674746" w:rsidRPr="00674746">
            <w:rPr>
              <w:rFonts w:eastAsiaTheme="minorHAnsi"/>
              <w:noProof/>
              <w:lang w:eastAsia="en-US"/>
            </w:rPr>
            <w:t>(Foucault, 2006, pág. 129)</w:t>
          </w:r>
          <w:r w:rsidR="004967BC">
            <w:rPr>
              <w:rFonts w:eastAsiaTheme="minorHAnsi"/>
              <w:lang w:eastAsia="en-US"/>
            </w:rPr>
            <w:fldChar w:fldCharType="end"/>
          </w:r>
        </w:sdtContent>
      </w:sdt>
    </w:p>
    <w:p w:rsidR="003D5798" w:rsidRDefault="003D5798" w:rsidP="003D5798">
      <w:pPr>
        <w:pStyle w:val="NormalWeb"/>
        <w:spacing w:line="360" w:lineRule="auto"/>
        <w:rPr>
          <w:rFonts w:eastAsiaTheme="minorHAnsi"/>
          <w:lang w:eastAsia="en-US"/>
        </w:rPr>
      </w:pPr>
      <w:r w:rsidRPr="003D5798">
        <w:rPr>
          <w:rFonts w:eastAsiaTheme="minorHAnsi"/>
          <w:lang w:eastAsia="en-US"/>
        </w:rPr>
        <w:t xml:space="preserve">La noción de sacrificio se vio reflejada en el totalitarismo del siglo XX, donde la vida del pueblo alemán pasó a ser vista como </w:t>
      </w:r>
      <w:r w:rsidR="00EC2A5D">
        <w:rPr>
          <w:rFonts w:eastAsiaTheme="minorHAnsi"/>
          <w:lang w:eastAsia="en-US"/>
        </w:rPr>
        <w:t xml:space="preserve">aquello que debe ser protegido pero también como </w:t>
      </w:r>
      <w:r w:rsidRPr="003D5798">
        <w:rPr>
          <w:rFonts w:eastAsiaTheme="minorHAnsi"/>
          <w:lang w:eastAsia="en-US"/>
        </w:rPr>
        <w:t>un</w:t>
      </w:r>
      <w:r w:rsidR="00EC2A5D">
        <w:rPr>
          <w:rFonts w:eastAsiaTheme="minorHAnsi"/>
          <w:lang w:eastAsia="en-US"/>
        </w:rPr>
        <w:t>a herramienta</w:t>
      </w:r>
      <w:r w:rsidRPr="003D5798">
        <w:rPr>
          <w:rFonts w:eastAsiaTheme="minorHAnsi"/>
          <w:lang w:eastAsia="en-US"/>
        </w:rPr>
        <w:t xml:space="preserve"> biopolític</w:t>
      </w:r>
      <w:r w:rsidR="00EC2A5D">
        <w:rPr>
          <w:rFonts w:eastAsiaTheme="minorHAnsi"/>
          <w:lang w:eastAsia="en-US"/>
        </w:rPr>
        <w:t>a</w:t>
      </w:r>
      <w:r w:rsidRPr="003D5798">
        <w:rPr>
          <w:rFonts w:eastAsiaTheme="minorHAnsi"/>
          <w:lang w:eastAsia="en-US"/>
        </w:rPr>
        <w:t xml:space="preserve">, se buscaba </w:t>
      </w:r>
      <w:r w:rsidRPr="00480AF7">
        <w:rPr>
          <w:rFonts w:eastAsiaTheme="minorHAnsi"/>
          <w:lang w:eastAsia="en-US"/>
        </w:rPr>
        <w:t xml:space="preserve">potenciar la raza con la producción a gran escala de la muerte, </w:t>
      </w:r>
      <w:r w:rsidR="00EC2A5D" w:rsidRPr="00414C29">
        <w:rPr>
          <w:rFonts w:eastAsiaTheme="minorHAnsi"/>
          <w:i/>
          <w:lang w:eastAsia="en-US"/>
        </w:rPr>
        <w:t>“la enfermedad que los nazis querían eliminar era precisamente la muerte de la propia raza”</w:t>
      </w:r>
      <w:r w:rsidR="00EC2A5D" w:rsidRPr="003D5798">
        <w:rPr>
          <w:rFonts w:eastAsiaTheme="minorHAnsi"/>
          <w:lang w:eastAsia="en-US"/>
        </w:rPr>
        <w:t xml:space="preserve"> </w:t>
      </w:r>
      <w:sdt>
        <w:sdtPr>
          <w:rPr>
            <w:rFonts w:eastAsiaTheme="minorHAnsi"/>
            <w:lang w:eastAsia="en-US"/>
          </w:rPr>
          <w:id w:val="87507960"/>
          <w:citation/>
        </w:sdtPr>
        <w:sdtContent>
          <w:r w:rsidR="004967BC">
            <w:rPr>
              <w:rFonts w:eastAsiaTheme="minorHAnsi"/>
              <w:lang w:eastAsia="en-US"/>
            </w:rPr>
            <w:fldChar w:fldCharType="begin"/>
          </w:r>
          <w:r w:rsidR="00674746">
            <w:rPr>
              <w:rFonts w:eastAsiaTheme="minorHAnsi"/>
              <w:lang w:eastAsia="en-US"/>
            </w:rPr>
            <w:instrText xml:space="preserve">CITATION Mic06 \p 130 \t  \l 9226 </w:instrText>
          </w:r>
          <w:r w:rsidR="004967BC">
            <w:rPr>
              <w:rFonts w:eastAsiaTheme="minorHAnsi"/>
              <w:lang w:eastAsia="en-US"/>
            </w:rPr>
            <w:fldChar w:fldCharType="separate"/>
          </w:r>
          <w:r w:rsidR="00674746" w:rsidRPr="00674746">
            <w:rPr>
              <w:rFonts w:eastAsiaTheme="minorHAnsi"/>
              <w:noProof/>
              <w:lang w:eastAsia="en-US"/>
            </w:rPr>
            <w:t>(Foucault, 2006, pág. 130)</w:t>
          </w:r>
          <w:r w:rsidR="004967BC">
            <w:rPr>
              <w:rFonts w:eastAsiaTheme="minorHAnsi"/>
              <w:lang w:eastAsia="en-US"/>
            </w:rPr>
            <w:fldChar w:fldCharType="end"/>
          </w:r>
        </w:sdtContent>
      </w:sdt>
      <w:r w:rsidR="00EC2A5D" w:rsidRPr="003D5798">
        <w:rPr>
          <w:rFonts w:eastAsiaTheme="minorHAnsi"/>
          <w:lang w:eastAsia="en-US"/>
        </w:rPr>
        <w:t xml:space="preserve">. </w:t>
      </w:r>
      <w:r w:rsidR="00EC2A5D">
        <w:rPr>
          <w:rFonts w:eastAsiaTheme="minorHAnsi"/>
          <w:lang w:eastAsia="en-US"/>
        </w:rPr>
        <w:t>P</w:t>
      </w:r>
      <w:r w:rsidRPr="00480AF7">
        <w:rPr>
          <w:rFonts w:eastAsiaTheme="minorHAnsi"/>
          <w:lang w:eastAsia="en-US"/>
        </w:rPr>
        <w:t>ero</w:t>
      </w:r>
      <w:r w:rsidR="00EC2A5D">
        <w:rPr>
          <w:rFonts w:eastAsiaTheme="minorHAnsi"/>
          <w:lang w:eastAsia="en-US"/>
        </w:rPr>
        <w:t xml:space="preserve"> esta muerte también era necesaria al interior del mismo pueblo alemán. Debían morir</w:t>
      </w:r>
      <w:r w:rsidRPr="00480AF7">
        <w:rPr>
          <w:rFonts w:eastAsiaTheme="minorHAnsi"/>
          <w:lang w:eastAsia="en-US"/>
        </w:rPr>
        <w:t xml:space="preserve"> </w:t>
      </w:r>
      <w:r w:rsidR="00EC2A5D">
        <w:rPr>
          <w:rFonts w:eastAsiaTheme="minorHAnsi"/>
          <w:lang w:eastAsia="en-US"/>
        </w:rPr>
        <w:t>soldados de la raza, para proteger la existencia de la raza</w:t>
      </w:r>
      <w:r w:rsidR="00EC2A5D" w:rsidRPr="00EC2A5D">
        <w:rPr>
          <w:rFonts w:eastAsiaTheme="minorHAnsi"/>
          <w:lang w:eastAsia="en-US"/>
        </w:rPr>
        <w:t>. “</w:t>
      </w:r>
      <w:r w:rsidR="00EC2A5D" w:rsidRPr="00EC2A5D">
        <w:rPr>
          <w:rFonts w:eastAsiaTheme="minorHAnsi"/>
          <w:i/>
          <w:lang w:eastAsia="en-US"/>
        </w:rPr>
        <w:t>E</w:t>
      </w:r>
      <w:r w:rsidRPr="00EC2A5D">
        <w:rPr>
          <w:rFonts w:eastAsiaTheme="minorHAnsi"/>
          <w:i/>
          <w:lang w:eastAsia="en-US"/>
        </w:rPr>
        <w:t>l mundo entero, está sujeto a un mismo destino: o encuentra la manera de sobrevivir todo junto o perecerá conjuntamente</w:t>
      </w:r>
      <w:r w:rsidR="00B21700" w:rsidRPr="00EC2A5D">
        <w:rPr>
          <w:rFonts w:eastAsiaTheme="minorHAnsi"/>
          <w:i/>
          <w:lang w:eastAsia="en-US"/>
        </w:rPr>
        <w:t>.</w:t>
      </w:r>
      <w:r w:rsidRPr="00EC2A5D">
        <w:rPr>
          <w:rFonts w:eastAsiaTheme="minorHAnsi"/>
          <w:i/>
          <w:lang w:eastAsia="en-US"/>
        </w:rPr>
        <w:t>”</w:t>
      </w:r>
      <w:r w:rsidRPr="00EC2A5D">
        <w:rPr>
          <w:rFonts w:eastAsiaTheme="minorHAnsi"/>
          <w:lang w:eastAsia="en-US"/>
        </w:rPr>
        <w:t xml:space="preserve"> </w:t>
      </w:r>
      <w:sdt>
        <w:sdtPr>
          <w:rPr>
            <w:rFonts w:eastAsiaTheme="minorHAnsi"/>
            <w:lang w:eastAsia="en-US"/>
          </w:rPr>
          <w:id w:val="87507962"/>
          <w:citation/>
        </w:sdtPr>
        <w:sdtContent>
          <w:r w:rsidR="004967BC" w:rsidRPr="00EC2A5D">
            <w:rPr>
              <w:rFonts w:eastAsiaTheme="minorHAnsi"/>
              <w:lang w:eastAsia="en-US"/>
            </w:rPr>
            <w:fldChar w:fldCharType="begin"/>
          </w:r>
          <w:r w:rsidR="00674746">
            <w:rPr>
              <w:rFonts w:eastAsiaTheme="minorHAnsi"/>
              <w:lang w:eastAsia="en-US"/>
            </w:rPr>
            <w:instrText xml:space="preserve">CITATION Mic06 \p 132 \t  \l 9226 </w:instrText>
          </w:r>
          <w:r w:rsidR="004967BC" w:rsidRPr="00EC2A5D">
            <w:rPr>
              <w:rFonts w:eastAsiaTheme="minorHAnsi"/>
              <w:lang w:eastAsia="en-US"/>
            </w:rPr>
            <w:fldChar w:fldCharType="separate"/>
          </w:r>
          <w:r w:rsidR="00674746" w:rsidRPr="00674746">
            <w:rPr>
              <w:rFonts w:eastAsiaTheme="minorHAnsi"/>
              <w:noProof/>
              <w:lang w:eastAsia="en-US"/>
            </w:rPr>
            <w:t>(Foucault, 2006, pág. 132)</w:t>
          </w:r>
          <w:r w:rsidR="004967BC" w:rsidRPr="00EC2A5D">
            <w:rPr>
              <w:rFonts w:eastAsiaTheme="minorHAnsi"/>
              <w:lang w:eastAsia="en-US"/>
            </w:rPr>
            <w:fldChar w:fldCharType="end"/>
          </w:r>
        </w:sdtContent>
      </w:sdt>
    </w:p>
    <w:p w:rsidR="005654A1" w:rsidRDefault="005654A1" w:rsidP="005654A1">
      <w:pPr>
        <w:pStyle w:val="Ttulo3"/>
        <w:rPr>
          <w:rFonts w:eastAsiaTheme="minorHAnsi"/>
        </w:rPr>
      </w:pPr>
      <w:bookmarkStart w:id="19" w:name="_Toc12899011"/>
      <w:r>
        <w:rPr>
          <w:rFonts w:eastAsiaTheme="minorHAnsi"/>
        </w:rPr>
        <w:t>3.3. El caso de la locura y sexualidad como peligros</w:t>
      </w:r>
      <w:bookmarkEnd w:id="19"/>
    </w:p>
    <w:p w:rsidR="005654A1" w:rsidRDefault="00F87C2D" w:rsidP="005654A1">
      <w:r>
        <w:t xml:space="preserve">Un poco como para ilustrar la importancia de la noción de peligro en el pensamiento genealógico de Foucault vamos a tratar los casos de la locura y la sexualidad. </w:t>
      </w:r>
    </w:p>
    <w:p w:rsidR="003E6F74" w:rsidRDefault="00F87C2D" w:rsidP="003E6F74">
      <w:r>
        <w:t xml:space="preserve">En el caso de la locura Foucault logra mostrar que </w:t>
      </w:r>
      <w:r w:rsidR="003E6F74">
        <w:t>en el siglo XVIII la manera como se concibe y trata la locura. La primera evidencia del cambio en lo que nos interesa es que el loco se empieza a ver como una persona peligrosa, y a partir de allí el saber psiquiátrico empieza a desarrollar toda una literatura médica que gira alrededor de esta consideración. El loco no es un simple loco, sino que representa un peligro para la sociedad.</w:t>
      </w:r>
      <w:sdt>
        <w:sdtPr>
          <w:id w:val="510181458"/>
          <w:citation/>
        </w:sdtPr>
        <w:sdtContent>
          <w:r w:rsidR="004967BC">
            <w:fldChar w:fldCharType="begin"/>
          </w:r>
          <w:r w:rsidR="00425689">
            <w:instrText xml:space="preserve">CITATION Mic074 \p 258 \l 9226 </w:instrText>
          </w:r>
          <w:r w:rsidR="004967BC">
            <w:fldChar w:fldCharType="separate"/>
          </w:r>
          <w:r w:rsidR="00425689">
            <w:rPr>
              <w:noProof/>
            </w:rPr>
            <w:t xml:space="preserve"> (Foucaul, 2007, pág. 258)</w:t>
          </w:r>
          <w:r w:rsidR="004967BC">
            <w:fldChar w:fldCharType="end"/>
          </w:r>
        </w:sdtContent>
      </w:sdt>
      <w:r w:rsidR="00425689">
        <w:t>. Es claro que en el esquema de Foucault el loco representa un peligro para la razón, para las instituciones y para la verdad, pero en términos médicos y jurídicos la atribución de peligrosidad al loco se realiza asociándolo con la criminalidad, y no solo esto, sino que esta asoc</w:t>
      </w:r>
      <w:r w:rsidR="00C92297">
        <w:t>i</w:t>
      </w:r>
      <w:r w:rsidR="00425689">
        <w:t>ación se convierte en la razón de ser del aparato clínico e institucional de la psiquiatría:</w:t>
      </w:r>
    </w:p>
    <w:p w:rsidR="003E6F74" w:rsidRDefault="00425689" w:rsidP="00425689">
      <w:pPr>
        <w:pStyle w:val="Cita"/>
      </w:pPr>
      <w:r>
        <w:lastRenderedPageBreak/>
        <w:t>L</w:t>
      </w:r>
      <w:r w:rsidR="003E6F74">
        <w:t xml:space="preserve">a determinación, </w:t>
      </w:r>
      <w:r>
        <w:t>o</w:t>
      </w:r>
      <w:r w:rsidR="003E6F74">
        <w:t xml:space="preserve"> atribución de una locura a un crimen -y en última instancia de la locura a cualquier crimen-, era el medio de </w:t>
      </w:r>
      <w:r>
        <w:t>f</w:t>
      </w:r>
      <w:r w:rsidR="003E6F74">
        <w:t>undar el poder psiquiátrico, no en términos de verdad, pues no se tra</w:t>
      </w:r>
      <w:r>
        <w:t>t</w:t>
      </w:r>
      <w:r w:rsidR="003E6F74">
        <w:t>a precisamente de verdad, sino en términos de peligro: es</w:t>
      </w:r>
      <w:r>
        <w:t>ta</w:t>
      </w:r>
      <w:r w:rsidR="003E6F74">
        <w:t>mos aqu</w:t>
      </w:r>
      <w:r>
        <w:t>í</w:t>
      </w:r>
      <w:r w:rsidR="003E6F74">
        <w:t xml:space="preserve"> para proteger </w:t>
      </w:r>
      <w:r>
        <w:t xml:space="preserve">la </w:t>
      </w:r>
      <w:r w:rsidR="003E6F74">
        <w:t>sociedad porque, en el corazón de toda locura, está inscri</w:t>
      </w:r>
      <w:r>
        <w:t>t</w:t>
      </w:r>
      <w:r w:rsidR="003E6F74">
        <w:t>a la posibilidad de un crimen.</w:t>
      </w:r>
      <w:sdt>
        <w:sdtPr>
          <w:id w:val="481742307"/>
          <w:citation/>
        </w:sdtPr>
        <w:sdtContent>
          <w:r w:rsidR="004967BC">
            <w:fldChar w:fldCharType="begin"/>
          </w:r>
          <w:r>
            <w:instrText xml:space="preserve">CITATION Mic074 \p 297 \l 9226 </w:instrText>
          </w:r>
          <w:r w:rsidR="004967BC">
            <w:fldChar w:fldCharType="separate"/>
          </w:r>
          <w:r>
            <w:rPr>
              <w:noProof/>
            </w:rPr>
            <w:t xml:space="preserve"> (Foucaul, 2007, pág. 297)</w:t>
          </w:r>
          <w:r w:rsidR="004967BC">
            <w:fldChar w:fldCharType="end"/>
          </w:r>
        </w:sdtContent>
      </w:sdt>
    </w:p>
    <w:p w:rsidR="003E6F74" w:rsidRDefault="00C92297" w:rsidP="005654A1">
      <w:r>
        <w:t>Así, también la visión de la criminalidad cambia. El criminal deja de ser visto sólo como alguien que ha violado una norma jurídica y por tanto debe ser castigado. El criminal es elevado a la categoría de peligro social, alguien que perjudica la existencia misma de la sociedad y que la pone en riesgo como una totalidad:</w:t>
      </w:r>
    </w:p>
    <w:p w:rsidR="00937EC5" w:rsidRDefault="00937EC5" w:rsidP="00C92297">
      <w:pPr>
        <w:pStyle w:val="Cita"/>
        <w:rPr>
          <w:lang w:val="es-ES"/>
        </w:rPr>
      </w:pPr>
      <w:r>
        <w:rPr>
          <w:lang w:val="es-ES"/>
        </w:rPr>
        <w:t>Se pasó del</w:t>
      </w:r>
      <w:r w:rsidR="00C92297">
        <w:rPr>
          <w:lang w:val="es-ES"/>
        </w:rPr>
        <w:t xml:space="preserve"> </w:t>
      </w:r>
      <w:r>
        <w:rPr>
          <w:lang w:val="es-ES"/>
        </w:rPr>
        <w:t>problema jurídico de la a</w:t>
      </w:r>
      <w:r w:rsidR="00C92297">
        <w:rPr>
          <w:lang w:val="es-ES"/>
        </w:rPr>
        <w:t>t</w:t>
      </w:r>
      <w:r>
        <w:rPr>
          <w:lang w:val="es-ES"/>
        </w:rPr>
        <w:t xml:space="preserve">ribución de responsabilidad a otro </w:t>
      </w:r>
      <w:r w:rsidR="00883B67">
        <w:rPr>
          <w:lang w:val="es-ES"/>
        </w:rPr>
        <w:t>totalmente</w:t>
      </w:r>
      <w:r>
        <w:rPr>
          <w:lang w:val="es-ES"/>
        </w:rPr>
        <w:t xml:space="preserve"> </w:t>
      </w:r>
      <w:r w:rsidRPr="00C92297">
        <w:t>distinto:</w:t>
      </w:r>
      <w:r w:rsidR="00C92297">
        <w:rPr>
          <w:sz w:val="15"/>
          <w:szCs w:val="15"/>
          <w:lang w:val="es-ES"/>
        </w:rPr>
        <w:t xml:space="preserve"> </w:t>
      </w:r>
      <w:r>
        <w:rPr>
          <w:lang w:val="es-ES"/>
        </w:rPr>
        <w:t>¿el individuo es peligroso? ¿Es susceptible de la sanción penal? ¿Es curable o</w:t>
      </w:r>
      <w:r w:rsidR="00C92297">
        <w:rPr>
          <w:lang w:val="es-ES"/>
        </w:rPr>
        <w:t xml:space="preserve"> </w:t>
      </w:r>
      <w:proofErr w:type="spellStart"/>
      <w:r>
        <w:rPr>
          <w:lang w:val="es-ES"/>
        </w:rPr>
        <w:t>readaptabl</w:t>
      </w:r>
      <w:r w:rsidR="00C92297">
        <w:rPr>
          <w:lang w:val="es-ES"/>
        </w:rPr>
        <w:t>e</w:t>
      </w:r>
      <w:proofErr w:type="spellEnd"/>
      <w:r>
        <w:rPr>
          <w:lang w:val="es-ES"/>
        </w:rPr>
        <w:t>? Vale decir que en lo sucesivo la sanción penal no deberá recaer sobre</w:t>
      </w:r>
      <w:r w:rsidR="00C92297">
        <w:rPr>
          <w:lang w:val="es-ES"/>
        </w:rPr>
        <w:t xml:space="preserve"> </w:t>
      </w:r>
      <w:r>
        <w:rPr>
          <w:lang w:val="es-ES"/>
        </w:rPr>
        <w:t>un sujeto de derecho reconocido como responsable; es un demento correlativo</w:t>
      </w:r>
      <w:r w:rsidR="00C92297">
        <w:rPr>
          <w:lang w:val="es-ES"/>
        </w:rPr>
        <w:t xml:space="preserve"> </w:t>
      </w:r>
      <w:r>
        <w:rPr>
          <w:lang w:val="es-ES"/>
        </w:rPr>
        <w:t>de una técnica que consiste en apar</w:t>
      </w:r>
      <w:r w:rsidR="00C92297">
        <w:rPr>
          <w:lang w:val="es-ES"/>
        </w:rPr>
        <w:t>t</w:t>
      </w:r>
      <w:r>
        <w:rPr>
          <w:lang w:val="es-ES"/>
        </w:rPr>
        <w:t>ar a los individuos peligrosos, encargarse de</w:t>
      </w:r>
      <w:r w:rsidR="00C92297">
        <w:rPr>
          <w:lang w:val="es-ES"/>
        </w:rPr>
        <w:t xml:space="preserve"> </w:t>
      </w:r>
      <w:r>
        <w:rPr>
          <w:lang w:val="es-ES"/>
        </w:rPr>
        <w:t xml:space="preserve">quienes pueden recibir una sanción penal, para curarlos o readaptados. </w:t>
      </w:r>
      <w:sdt>
        <w:sdtPr>
          <w:rPr>
            <w:lang w:val="es-ES"/>
          </w:rPr>
          <w:id w:val="-1517677501"/>
          <w:citation/>
        </w:sdtPr>
        <w:sdtContent>
          <w:r w:rsidR="004967BC">
            <w:rPr>
              <w:lang w:val="es-ES"/>
            </w:rPr>
            <w:fldChar w:fldCharType="begin"/>
          </w:r>
          <w:r w:rsidR="00C92297">
            <w:instrText xml:space="preserve">CITATION Mic004 \p 37 \l 9226 </w:instrText>
          </w:r>
          <w:r w:rsidR="004967BC">
            <w:rPr>
              <w:lang w:val="es-ES"/>
            </w:rPr>
            <w:fldChar w:fldCharType="separate"/>
          </w:r>
          <w:r w:rsidR="00C92297" w:rsidRPr="00C92297">
            <w:rPr>
              <w:noProof/>
            </w:rPr>
            <w:t>(Foucault M. , Los anormales, 2000, pág. 37)</w:t>
          </w:r>
          <w:r w:rsidR="004967BC">
            <w:rPr>
              <w:lang w:val="es-ES"/>
            </w:rPr>
            <w:fldChar w:fldCharType="end"/>
          </w:r>
        </w:sdtContent>
      </w:sdt>
    </w:p>
    <w:p w:rsidR="00C92297" w:rsidRDefault="00FC0BCC" w:rsidP="00FC0BCC">
      <w:pPr>
        <w:rPr>
          <w:lang w:val="es-ES"/>
        </w:rPr>
      </w:pPr>
      <w:r>
        <w:rPr>
          <w:lang w:val="es-ES"/>
        </w:rPr>
        <w:t xml:space="preserve">Vemos entonces que para Foucault la asociación de la locura con la criminalidad tiene el propósito de determinar que los locos son peligrosos, lo que a su vez justifica la aparición de todo un aparato institucional cuyo propósito es defender la sociedad. Este aparato institucional, integrado por instituciones jurídicas y médicas termina volviéndose indeterminado, con una naturaleza mixta que es ajena a su espíritu individual, pues por un lado la medicina cura enfermos, y por el otro las instituciones penales castigan la violación de la ley, pero juntos se transforman en otra cosa y están dirigidas a un propósito diferente, mantener a </w:t>
      </w:r>
      <w:r>
        <w:rPr>
          <w:lang w:val="es-ES"/>
        </w:rPr>
        <w:lastRenderedPageBreak/>
        <w:t>raya la peligrosidad del sujeto, detener el crimen antes que suceda, evitar la degeneración social producida por el loco suelto en las calles:</w:t>
      </w:r>
    </w:p>
    <w:p w:rsidR="00937EC5" w:rsidRDefault="00937EC5" w:rsidP="00FC0BCC">
      <w:pPr>
        <w:pStyle w:val="Cita"/>
        <w:rPr>
          <w:lang w:val="es-ES"/>
        </w:rPr>
      </w:pPr>
      <w:r>
        <w:rPr>
          <w:lang w:val="es-ES"/>
        </w:rPr>
        <w:t>En suma, la sociedad va a responder a la criminalidad pa</w:t>
      </w:r>
      <w:r w:rsidR="00FC0BCC">
        <w:rPr>
          <w:lang w:val="es-ES"/>
        </w:rPr>
        <w:t>t</w:t>
      </w:r>
      <w:r>
        <w:rPr>
          <w:lang w:val="es-ES"/>
        </w:rPr>
        <w:t>ológica</w:t>
      </w:r>
      <w:r w:rsidR="00FC0BCC">
        <w:rPr>
          <w:lang w:val="es-ES"/>
        </w:rPr>
        <w:t xml:space="preserve"> </w:t>
      </w:r>
      <w:r>
        <w:rPr>
          <w:lang w:val="es-ES"/>
        </w:rPr>
        <w:t>de dos modos, o más bien va a proponer una respuesta homogénea con</w:t>
      </w:r>
      <w:r w:rsidR="00FC0BCC">
        <w:rPr>
          <w:lang w:val="es-ES"/>
        </w:rPr>
        <w:t xml:space="preserve"> </w:t>
      </w:r>
      <w:r>
        <w:rPr>
          <w:lang w:val="es-ES"/>
        </w:rPr>
        <w:t xml:space="preserve">dos polos: uno, expiatorio; </w:t>
      </w:r>
      <w:r>
        <w:rPr>
          <w:rFonts w:cs="Arial"/>
          <w:sz w:val="18"/>
          <w:szCs w:val="18"/>
          <w:lang w:val="es-ES"/>
        </w:rPr>
        <w:t xml:space="preserve">el </w:t>
      </w:r>
      <w:r>
        <w:rPr>
          <w:lang w:val="es-ES"/>
        </w:rPr>
        <w:t>otro, terapéutico. Pero ambos son los dos p</w:t>
      </w:r>
      <w:r w:rsidR="00FC0BCC">
        <w:rPr>
          <w:lang w:val="es-ES"/>
        </w:rPr>
        <w:t>o</w:t>
      </w:r>
      <w:r>
        <w:rPr>
          <w:lang w:val="es-ES"/>
        </w:rPr>
        <w:t>los de</w:t>
      </w:r>
      <w:r w:rsidR="00FC0BCC">
        <w:rPr>
          <w:lang w:val="es-ES"/>
        </w:rPr>
        <w:t xml:space="preserve"> </w:t>
      </w:r>
      <w:r>
        <w:rPr>
          <w:lang w:val="es-ES"/>
        </w:rPr>
        <w:t xml:space="preserve">una red continua de instituciones, cuya función, en </w:t>
      </w:r>
      <w:r>
        <w:rPr>
          <w:rFonts w:cs="Arial"/>
          <w:sz w:val="19"/>
          <w:szCs w:val="19"/>
          <w:lang w:val="es-ES"/>
        </w:rPr>
        <w:t xml:space="preserve">el </w:t>
      </w:r>
      <w:r>
        <w:rPr>
          <w:lang w:val="es-ES"/>
        </w:rPr>
        <w:t>fondo, ¿es responder a</w:t>
      </w:r>
      <w:r w:rsidR="00FC0BCC">
        <w:rPr>
          <w:lang w:val="es-ES"/>
        </w:rPr>
        <w:t xml:space="preserve"> </w:t>
      </w:r>
      <w:r>
        <w:rPr>
          <w:lang w:val="es-ES"/>
        </w:rPr>
        <w:t>qué? En absoluto a la enfermedad, desde luego, porque si sólo se tratara de ella,</w:t>
      </w:r>
      <w:r w:rsidR="00FC0BCC">
        <w:rPr>
          <w:lang w:val="es-ES"/>
        </w:rPr>
        <w:t xml:space="preserve"> </w:t>
      </w:r>
      <w:r>
        <w:rPr>
          <w:lang w:val="es-ES"/>
        </w:rPr>
        <w:t xml:space="preserve">en ese </w:t>
      </w:r>
      <w:r w:rsidR="00FC0BCC">
        <w:rPr>
          <w:lang w:val="es-ES"/>
        </w:rPr>
        <w:t>c</w:t>
      </w:r>
      <w:r>
        <w:rPr>
          <w:lang w:val="es-ES"/>
        </w:rPr>
        <w:t>aso (</w:t>
      </w:r>
      <w:r w:rsidR="00FC0BCC">
        <w:rPr>
          <w:lang w:val="es-ES"/>
        </w:rPr>
        <w:t>t</w:t>
      </w:r>
      <w:r>
        <w:rPr>
          <w:lang w:val="es-ES"/>
        </w:rPr>
        <w:t>endríamos insti</w:t>
      </w:r>
      <w:r w:rsidR="00FC0BCC">
        <w:rPr>
          <w:lang w:val="es-ES"/>
        </w:rPr>
        <w:t>tu</w:t>
      </w:r>
      <w:r>
        <w:rPr>
          <w:lang w:val="es-ES"/>
        </w:rPr>
        <w:t>ciones propiamen</w:t>
      </w:r>
      <w:r w:rsidR="00FC0BCC">
        <w:rPr>
          <w:lang w:val="es-ES"/>
        </w:rPr>
        <w:t>t</w:t>
      </w:r>
      <w:r>
        <w:rPr>
          <w:lang w:val="es-ES"/>
        </w:rPr>
        <w:t>e terapéuticas; pero tampoco</w:t>
      </w:r>
      <w:r w:rsidR="00FC0BCC">
        <w:rPr>
          <w:lang w:val="es-ES"/>
        </w:rPr>
        <w:t xml:space="preserve"> </w:t>
      </w:r>
      <w:r>
        <w:rPr>
          <w:lang w:val="es-ES"/>
        </w:rPr>
        <w:t>exactamente al crimen, porque bastarían e</w:t>
      </w:r>
      <w:r w:rsidR="00FC0BCC">
        <w:rPr>
          <w:lang w:val="es-ES"/>
        </w:rPr>
        <w:t>nt</w:t>
      </w:r>
      <w:r>
        <w:rPr>
          <w:lang w:val="es-ES"/>
        </w:rPr>
        <w:t>onces las insti</w:t>
      </w:r>
      <w:r w:rsidR="00FC0BCC">
        <w:rPr>
          <w:lang w:val="es-ES"/>
        </w:rPr>
        <w:t>t</w:t>
      </w:r>
      <w:r>
        <w:rPr>
          <w:lang w:val="es-ES"/>
        </w:rPr>
        <w:t>uciones puni</w:t>
      </w:r>
      <w:r w:rsidR="00FC0BCC">
        <w:rPr>
          <w:lang w:val="es-ES"/>
        </w:rPr>
        <w:t>t</w:t>
      </w:r>
      <w:r>
        <w:rPr>
          <w:lang w:val="es-ES"/>
        </w:rPr>
        <w:t>ivas. En</w:t>
      </w:r>
      <w:r w:rsidR="00FC0BCC">
        <w:rPr>
          <w:lang w:val="es-ES"/>
        </w:rPr>
        <w:t xml:space="preserve"> </w:t>
      </w:r>
      <w:r>
        <w:rPr>
          <w:lang w:val="es-ES"/>
        </w:rPr>
        <w:t>realidad, todo ese continuum, que tiene su polo terapéutico y su polo judicial,</w:t>
      </w:r>
      <w:r w:rsidR="00FC0BCC">
        <w:rPr>
          <w:lang w:val="es-ES"/>
        </w:rPr>
        <w:t xml:space="preserve"> to</w:t>
      </w:r>
      <w:r>
        <w:rPr>
          <w:lang w:val="es-ES"/>
        </w:rPr>
        <w:t>da esa mixtura institucional, ¿a qué respo</w:t>
      </w:r>
      <w:r w:rsidR="00FC0BCC">
        <w:rPr>
          <w:lang w:val="es-ES"/>
        </w:rPr>
        <w:t>nd</w:t>
      </w:r>
      <w:r>
        <w:rPr>
          <w:lang w:val="es-ES"/>
        </w:rPr>
        <w:t>e? Pues bien, al peligro.</w:t>
      </w:r>
      <w:r w:rsidR="00FC0BCC">
        <w:rPr>
          <w:lang w:val="es-ES"/>
        </w:rPr>
        <w:t xml:space="preserve"> </w:t>
      </w:r>
      <w:r>
        <w:rPr>
          <w:lang w:val="es-ES"/>
        </w:rPr>
        <w:t>Este conjunto institucional se dirige al individuo peligroso, vale decir, ni</w:t>
      </w:r>
      <w:r w:rsidR="00FC0BCC">
        <w:rPr>
          <w:lang w:val="es-ES"/>
        </w:rPr>
        <w:t xml:space="preserve"> </w:t>
      </w:r>
      <w:r>
        <w:rPr>
          <w:lang w:val="es-ES"/>
        </w:rPr>
        <w:t>exac</w:t>
      </w:r>
      <w:r w:rsidR="00FC0BCC">
        <w:rPr>
          <w:lang w:val="es-ES"/>
        </w:rPr>
        <w:t>t</w:t>
      </w:r>
      <w:r>
        <w:rPr>
          <w:lang w:val="es-ES"/>
        </w:rPr>
        <w:t>amen</w:t>
      </w:r>
      <w:r w:rsidR="00FC0BCC">
        <w:rPr>
          <w:lang w:val="es-ES"/>
        </w:rPr>
        <w:t>t</w:t>
      </w:r>
      <w:r>
        <w:rPr>
          <w:lang w:val="es-ES"/>
        </w:rPr>
        <w:t>e enfermo ni, propiamente hablando, criminal.</w:t>
      </w:r>
      <w:sdt>
        <w:sdtPr>
          <w:rPr>
            <w:lang w:val="es-ES"/>
          </w:rPr>
          <w:id w:val="-19941938"/>
          <w:citation/>
        </w:sdtPr>
        <w:sdtContent>
          <w:r w:rsidR="004967BC">
            <w:rPr>
              <w:lang w:val="es-ES"/>
            </w:rPr>
            <w:fldChar w:fldCharType="begin"/>
          </w:r>
          <w:r w:rsidR="00FC0BCC">
            <w:instrText xml:space="preserve">CITATION Mic004 \p 41 \l 9226 </w:instrText>
          </w:r>
          <w:r w:rsidR="004967BC">
            <w:rPr>
              <w:lang w:val="es-ES"/>
            </w:rPr>
            <w:fldChar w:fldCharType="separate"/>
          </w:r>
          <w:r w:rsidR="00FC0BCC">
            <w:rPr>
              <w:noProof/>
            </w:rPr>
            <w:t xml:space="preserve"> (Foucault M. , Los anormales, 2000, pág. 41)</w:t>
          </w:r>
          <w:r w:rsidR="004967BC">
            <w:rPr>
              <w:lang w:val="es-ES"/>
            </w:rPr>
            <w:fldChar w:fldCharType="end"/>
          </w:r>
        </w:sdtContent>
      </w:sdt>
    </w:p>
    <w:p w:rsidR="00FD2DFF" w:rsidRDefault="009D05D3" w:rsidP="009D05D3">
      <w:pPr>
        <w:rPr>
          <w:lang w:val="es-ES"/>
        </w:rPr>
      </w:pPr>
      <w:r>
        <w:rPr>
          <w:lang w:val="es-ES"/>
        </w:rPr>
        <w:t>Esta visión de la naturaleza esencial de la psiquiatría en el siglo XIX es complementada por Foucault con las siguientes palabras:</w:t>
      </w:r>
    </w:p>
    <w:p w:rsidR="009D05D3" w:rsidRDefault="00937EC5" w:rsidP="009D05D3">
      <w:pPr>
        <w:pStyle w:val="Cita"/>
        <w:rPr>
          <w:lang w:val="es-ES"/>
        </w:rPr>
      </w:pPr>
      <w:r>
        <w:rPr>
          <w:lang w:val="es-ES"/>
        </w:rPr>
        <w:t xml:space="preserve">La psiquiatría funciona -a principios </w:t>
      </w:r>
      <w:r>
        <w:rPr>
          <w:rFonts w:cs="Arial"/>
          <w:sz w:val="19"/>
          <w:szCs w:val="19"/>
          <w:lang w:val="es-ES"/>
        </w:rPr>
        <w:t xml:space="preserve">del </w:t>
      </w:r>
      <w:r>
        <w:rPr>
          <w:lang w:val="es-ES"/>
        </w:rPr>
        <w:t xml:space="preserve">siglo </w:t>
      </w:r>
      <w:r>
        <w:rPr>
          <w:rFonts w:cs="Arial"/>
          <w:sz w:val="19"/>
          <w:szCs w:val="19"/>
          <w:lang w:val="es-ES"/>
        </w:rPr>
        <w:t xml:space="preserve">XIX </w:t>
      </w:r>
      <w:r>
        <w:rPr>
          <w:lang w:val="es-ES"/>
        </w:rPr>
        <w:t>y ya avanzado</w:t>
      </w:r>
      <w:r w:rsidR="009D05D3">
        <w:rPr>
          <w:lang w:val="es-ES"/>
        </w:rPr>
        <w:t xml:space="preserve"> </w:t>
      </w:r>
      <w:r>
        <w:rPr>
          <w:lang w:val="es-ES"/>
        </w:rPr>
        <w:t>éste, quizás hasta alrededor de 1850- no como una especialización del saber</w:t>
      </w:r>
      <w:r w:rsidR="009D05D3">
        <w:rPr>
          <w:lang w:val="es-ES"/>
        </w:rPr>
        <w:t xml:space="preserve"> </w:t>
      </w:r>
      <w:r>
        <w:rPr>
          <w:lang w:val="es-ES"/>
        </w:rPr>
        <w:t>o la teoría médica, sino mucho m</w:t>
      </w:r>
      <w:r w:rsidR="009D05D3">
        <w:rPr>
          <w:lang w:val="es-ES"/>
        </w:rPr>
        <w:t>á</w:t>
      </w:r>
      <w:r>
        <w:rPr>
          <w:lang w:val="es-ES"/>
        </w:rPr>
        <w:t xml:space="preserve">s como una rama especializada de la </w:t>
      </w:r>
      <w:r>
        <w:rPr>
          <w:rFonts w:cs="Arial"/>
          <w:sz w:val="17"/>
          <w:szCs w:val="17"/>
          <w:lang w:val="es-ES"/>
        </w:rPr>
        <w:t>hi</w:t>
      </w:r>
      <w:r>
        <w:rPr>
          <w:lang w:val="es-ES"/>
        </w:rPr>
        <w:t>giene</w:t>
      </w:r>
      <w:r w:rsidR="009D05D3">
        <w:rPr>
          <w:lang w:val="es-ES"/>
        </w:rPr>
        <w:t xml:space="preserve"> </w:t>
      </w:r>
      <w:r>
        <w:rPr>
          <w:lang w:val="es-ES"/>
        </w:rPr>
        <w:t xml:space="preserve">pública. Ames de ser una especialidad </w:t>
      </w:r>
      <w:r>
        <w:rPr>
          <w:sz w:val="19"/>
          <w:szCs w:val="19"/>
          <w:lang w:val="es-ES"/>
        </w:rPr>
        <w:t xml:space="preserve">de </w:t>
      </w:r>
      <w:r w:rsidR="009D05D3">
        <w:rPr>
          <w:lang w:val="es-ES"/>
        </w:rPr>
        <w:t>la medi</w:t>
      </w:r>
      <w:r>
        <w:rPr>
          <w:lang w:val="es-ES"/>
        </w:rPr>
        <w:t xml:space="preserve">cina, </w:t>
      </w:r>
      <w:r>
        <w:rPr>
          <w:sz w:val="19"/>
          <w:szCs w:val="19"/>
          <w:lang w:val="es-ES"/>
        </w:rPr>
        <w:t xml:space="preserve">la </w:t>
      </w:r>
      <w:r>
        <w:rPr>
          <w:lang w:val="es-ES"/>
        </w:rPr>
        <w:t>psiquiatría se</w:t>
      </w:r>
      <w:r w:rsidR="009D05D3">
        <w:rPr>
          <w:lang w:val="es-ES"/>
        </w:rPr>
        <w:t xml:space="preserve"> </w:t>
      </w:r>
      <w:r>
        <w:rPr>
          <w:lang w:val="es-ES"/>
        </w:rPr>
        <w:t xml:space="preserve">institucionalizó corno dominio panicular de </w:t>
      </w:r>
      <w:r>
        <w:rPr>
          <w:sz w:val="21"/>
          <w:szCs w:val="21"/>
          <w:lang w:val="es-ES"/>
        </w:rPr>
        <w:t xml:space="preserve">la </w:t>
      </w:r>
      <w:r>
        <w:rPr>
          <w:lang w:val="es-ES"/>
        </w:rPr>
        <w:t>protección social, contra todos</w:t>
      </w:r>
      <w:r w:rsidR="009D05D3">
        <w:rPr>
          <w:lang w:val="es-ES"/>
        </w:rPr>
        <w:t xml:space="preserve"> </w:t>
      </w:r>
      <w:r>
        <w:rPr>
          <w:lang w:val="es-ES"/>
        </w:rPr>
        <w:t>los peligros que pueden venir de la sociedad debido a la enfermedad o a todo lo</w:t>
      </w:r>
      <w:r w:rsidR="009D05D3">
        <w:rPr>
          <w:lang w:val="es-ES"/>
        </w:rPr>
        <w:t xml:space="preserve"> </w:t>
      </w:r>
      <w:r>
        <w:rPr>
          <w:lang w:val="es-ES"/>
        </w:rPr>
        <w:t xml:space="preserve">que se puede asimilar directa o indirectamente a ésta. </w:t>
      </w:r>
      <w:r>
        <w:rPr>
          <w:rFonts w:cs="Arial"/>
          <w:sz w:val="17"/>
          <w:szCs w:val="17"/>
          <w:lang w:val="es-ES"/>
        </w:rPr>
        <w:t xml:space="preserve">La </w:t>
      </w:r>
      <w:r>
        <w:rPr>
          <w:lang w:val="es-ES"/>
        </w:rPr>
        <w:t>psiquiatría se institucionalizó</w:t>
      </w:r>
      <w:r w:rsidR="009D05D3">
        <w:rPr>
          <w:lang w:val="es-ES"/>
        </w:rPr>
        <w:t xml:space="preserve"> </w:t>
      </w:r>
      <w:r>
        <w:rPr>
          <w:lang w:val="es-ES"/>
        </w:rPr>
        <w:t xml:space="preserve">como precaución social, como higiene del </w:t>
      </w:r>
      <w:r>
        <w:rPr>
          <w:lang w:val="es-ES"/>
        </w:rPr>
        <w:lastRenderedPageBreak/>
        <w:t xml:space="preserve">cuerpo social </w:t>
      </w:r>
      <w:r>
        <w:rPr>
          <w:sz w:val="17"/>
          <w:szCs w:val="17"/>
          <w:lang w:val="es-ES"/>
        </w:rPr>
        <w:t xml:space="preserve">en </w:t>
      </w:r>
      <w:r>
        <w:rPr>
          <w:lang w:val="es-ES"/>
        </w:rPr>
        <w:t>su totalidad</w:t>
      </w:r>
      <w:sdt>
        <w:sdtPr>
          <w:rPr>
            <w:lang w:val="es-ES"/>
          </w:rPr>
          <w:id w:val="1105844793"/>
          <w:citation/>
        </w:sdtPr>
        <w:sdtContent>
          <w:r w:rsidR="004967BC">
            <w:rPr>
              <w:lang w:val="es-ES"/>
            </w:rPr>
            <w:fldChar w:fldCharType="begin"/>
          </w:r>
          <w:r w:rsidR="009D05D3">
            <w:instrText xml:space="preserve">CITATION Mic004 \p 115 \l 9226 </w:instrText>
          </w:r>
          <w:r w:rsidR="004967BC">
            <w:rPr>
              <w:lang w:val="es-ES"/>
            </w:rPr>
            <w:fldChar w:fldCharType="separate"/>
          </w:r>
          <w:r w:rsidR="009D05D3">
            <w:rPr>
              <w:noProof/>
            </w:rPr>
            <w:t xml:space="preserve"> (Foucault M. , Los anormales, 2000, pág. 115)</w:t>
          </w:r>
          <w:r w:rsidR="004967BC">
            <w:rPr>
              <w:lang w:val="es-ES"/>
            </w:rPr>
            <w:fldChar w:fldCharType="end"/>
          </w:r>
        </w:sdtContent>
      </w:sdt>
    </w:p>
    <w:p w:rsidR="009D05D3" w:rsidRDefault="009D05D3" w:rsidP="009D05D3">
      <w:pPr>
        <w:autoSpaceDE w:val="0"/>
        <w:autoSpaceDN w:val="0"/>
        <w:adjustRightInd w:val="0"/>
        <w:spacing w:before="0" w:after="0" w:line="240" w:lineRule="auto"/>
        <w:ind w:firstLine="0"/>
        <w:jc w:val="left"/>
        <w:rPr>
          <w:rFonts w:cs="Times New Roman"/>
          <w:sz w:val="18"/>
          <w:szCs w:val="18"/>
          <w:lang w:val="es-ES"/>
        </w:rPr>
      </w:pPr>
    </w:p>
    <w:p w:rsidR="00792D5F" w:rsidRDefault="00792D5F" w:rsidP="00792D5F">
      <w:pPr>
        <w:rPr>
          <w:rFonts w:ascii="Verdana" w:hAnsi="Verdana" w:cs="Verdana"/>
          <w:sz w:val="22"/>
          <w:lang w:val="es-ES"/>
        </w:rPr>
      </w:pPr>
      <w:r>
        <w:rPr>
          <w:lang w:val="es-ES"/>
        </w:rPr>
        <w:t xml:space="preserve">Así vemos que la locura deja de estar asociada con el ser impío, o con aquel que tiene un acceso a poderes divinos más allá del resto de los seres terrenales y empieza a ser asociada con la degeneración y el desorden, para la familia el loco es un foco de peligro, para la sociedad una fuente de desorden y de discursos revolucionarios y agitadores que ponen en tela de juicio </w:t>
      </w:r>
      <w:r w:rsidR="00BB0EAB">
        <w:rPr>
          <w:lang w:val="es-ES"/>
        </w:rPr>
        <w:t xml:space="preserve">las verdades que fundamentan la sociedad, </w:t>
      </w:r>
      <w:r>
        <w:rPr>
          <w:lang w:val="es-ES"/>
        </w:rPr>
        <w:t xml:space="preserve">el orden </w:t>
      </w:r>
      <w:r w:rsidR="00BB0EAB">
        <w:rPr>
          <w:lang w:val="es-ES"/>
        </w:rPr>
        <w:t xml:space="preserve">moral, </w:t>
      </w:r>
      <w:r>
        <w:rPr>
          <w:lang w:val="es-ES"/>
        </w:rPr>
        <w:t>social y estatal</w:t>
      </w:r>
      <w:sdt>
        <w:sdtPr>
          <w:rPr>
            <w:rFonts w:ascii="Verdana" w:hAnsi="Verdana" w:cs="Verdana"/>
            <w:sz w:val="22"/>
            <w:lang w:val="es-ES"/>
          </w:rPr>
          <w:id w:val="-1236776029"/>
          <w:citation/>
        </w:sdtPr>
        <w:sdtEndPr>
          <w:rPr>
            <w:rFonts w:ascii="Arial" w:hAnsi="Arial" w:cstheme="minorBidi"/>
            <w:sz w:val="24"/>
            <w:lang w:val="es-CO"/>
          </w:rPr>
        </w:sdtEndPr>
        <w:sdtContent>
          <w:r w:rsidR="004967BC" w:rsidRPr="00792D5F">
            <w:fldChar w:fldCharType="begin"/>
          </w:r>
          <w:r w:rsidRPr="00792D5F">
            <w:instrText xml:space="preserve">CITATION Mic077 \p 69 \l 9226 </w:instrText>
          </w:r>
          <w:r w:rsidR="004967BC" w:rsidRPr="00792D5F">
            <w:fldChar w:fldCharType="separate"/>
          </w:r>
          <w:r w:rsidRPr="00792D5F">
            <w:t xml:space="preserve"> (Foucault M. , Historia de la Locura en la época clásica, 2007, pág. 69)</w:t>
          </w:r>
          <w:r w:rsidR="004967BC" w:rsidRPr="00792D5F">
            <w:fldChar w:fldCharType="end"/>
          </w:r>
        </w:sdtContent>
      </w:sdt>
      <w:r w:rsidRPr="00792D5F">
        <w:t>.</w:t>
      </w:r>
    </w:p>
    <w:p w:rsidR="00792D5F" w:rsidRDefault="00EE3E89" w:rsidP="00EE3E89">
      <w:pPr>
        <w:rPr>
          <w:lang w:val="es-ES"/>
        </w:rPr>
      </w:pPr>
      <w:r>
        <w:rPr>
          <w:lang w:val="es-ES"/>
        </w:rPr>
        <w:t>Por otro lado, la cara del peligro también cambia. El peligro no está representado por el diablo, por las brujas que han abandonado la raza humana y representan una amenaza a un orden religioso y transcendente, el peligro ahora es humano, biológico y se encuentra encarnado en un hombre:</w:t>
      </w:r>
    </w:p>
    <w:p w:rsidR="00792D5F" w:rsidRDefault="00792D5F" w:rsidP="00EE3E89">
      <w:pPr>
        <w:pStyle w:val="Cita"/>
        <w:rPr>
          <w:lang w:val="es-ES"/>
        </w:rPr>
      </w:pPr>
      <w:r>
        <w:rPr>
          <w:lang w:val="es-ES"/>
        </w:rPr>
        <w:t>Toma</w:t>
      </w:r>
      <w:r w:rsidR="00EE3E89">
        <w:rPr>
          <w:lang w:val="es-ES"/>
        </w:rPr>
        <w:t xml:space="preserve"> </w:t>
      </w:r>
      <w:r>
        <w:rPr>
          <w:lang w:val="es-ES"/>
        </w:rPr>
        <w:t>el aspecto de un hecho humano, de una variedad espontánea en el</w:t>
      </w:r>
      <w:r w:rsidR="00EE3E89">
        <w:rPr>
          <w:lang w:val="es-ES"/>
        </w:rPr>
        <w:t xml:space="preserve"> </w:t>
      </w:r>
      <w:r>
        <w:rPr>
          <w:lang w:val="es-ES"/>
        </w:rPr>
        <w:t>campo de</w:t>
      </w:r>
      <w:r w:rsidR="00EE3E89">
        <w:rPr>
          <w:lang w:val="es-ES"/>
        </w:rPr>
        <w:t xml:space="preserve"> </w:t>
      </w:r>
      <w:r>
        <w:rPr>
          <w:lang w:val="es-ES"/>
        </w:rPr>
        <w:t>las especies sociales. Lo que antes era inevitable peligro de las cosas y del</w:t>
      </w:r>
      <w:r w:rsidR="00EE3E89">
        <w:rPr>
          <w:lang w:val="es-ES"/>
        </w:rPr>
        <w:t xml:space="preserve"> </w:t>
      </w:r>
      <w:r>
        <w:rPr>
          <w:lang w:val="es-ES"/>
        </w:rPr>
        <w:t>lenguaje del hombre, de su razón y de su tierra, toma hoy el aspecto de un</w:t>
      </w:r>
      <w:r w:rsidR="00EE3E89">
        <w:rPr>
          <w:lang w:val="es-ES"/>
        </w:rPr>
        <w:t xml:space="preserve"> </w:t>
      </w:r>
      <w:r>
        <w:rPr>
          <w:lang w:val="es-ES"/>
        </w:rPr>
        <w:t>personaje. O, mejor dicho, de personajes. Los hombres de sinrazón son tipos</w:t>
      </w:r>
      <w:r w:rsidR="00EE3E89">
        <w:rPr>
          <w:lang w:val="es-ES"/>
        </w:rPr>
        <w:t xml:space="preserve"> </w:t>
      </w:r>
      <w:r>
        <w:rPr>
          <w:lang w:val="es-ES"/>
        </w:rPr>
        <w:t>que la sociedad reconoce y aísla: el depravado, el disipador, el</w:t>
      </w:r>
      <w:r w:rsidR="00EE3E89">
        <w:rPr>
          <w:lang w:val="es-ES"/>
        </w:rPr>
        <w:t xml:space="preserve"> </w:t>
      </w:r>
      <w:r>
        <w:rPr>
          <w:lang w:val="es-ES"/>
        </w:rPr>
        <w:t>homosexual, el</w:t>
      </w:r>
      <w:r w:rsidR="00EE3E89">
        <w:rPr>
          <w:lang w:val="es-ES"/>
        </w:rPr>
        <w:t xml:space="preserve"> </w:t>
      </w:r>
      <w:r>
        <w:rPr>
          <w:lang w:val="es-ES"/>
        </w:rPr>
        <w:t>mago, el suicida, el libertino.</w:t>
      </w:r>
      <w:sdt>
        <w:sdtPr>
          <w:rPr>
            <w:lang w:val="es-ES"/>
          </w:rPr>
          <w:id w:val="1909565483"/>
          <w:citation/>
        </w:sdtPr>
        <w:sdtContent>
          <w:r w:rsidR="004967BC">
            <w:rPr>
              <w:lang w:val="es-ES"/>
            </w:rPr>
            <w:fldChar w:fldCharType="begin"/>
          </w:r>
          <w:r w:rsidR="00EE3E89">
            <w:instrText xml:space="preserve">CITATION Mic077 \p 88 \l 9226 </w:instrText>
          </w:r>
          <w:r w:rsidR="004967BC">
            <w:rPr>
              <w:lang w:val="es-ES"/>
            </w:rPr>
            <w:fldChar w:fldCharType="separate"/>
          </w:r>
          <w:r w:rsidR="00EE3E89">
            <w:rPr>
              <w:noProof/>
            </w:rPr>
            <w:t xml:space="preserve"> </w:t>
          </w:r>
          <w:r w:rsidR="00EE3E89" w:rsidRPr="00EE3E89">
            <w:rPr>
              <w:noProof/>
            </w:rPr>
            <w:t>(Foucault M. , Historia de la Locura en la época clásica, 2007, pág. 88)</w:t>
          </w:r>
          <w:r w:rsidR="004967BC">
            <w:rPr>
              <w:lang w:val="es-ES"/>
            </w:rPr>
            <w:fldChar w:fldCharType="end"/>
          </w:r>
        </w:sdtContent>
      </w:sdt>
    </w:p>
    <w:p w:rsidR="00956720" w:rsidRDefault="00956720" w:rsidP="00703E44">
      <w:r>
        <w:t>El ser peligroso se transforma en aquello que caracteriza al ser humano que necesita ser apartado del orden social y familiar. Para encerrar al loco no es suficiente con que sea loco, tampoco es suficiente con que su familia no pueda mantenerlo o cuidarlo</w:t>
      </w:r>
      <w:r w:rsidR="00737460">
        <w:t>, “</w:t>
      </w:r>
      <w:r>
        <w:t xml:space="preserve">ni siquiera </w:t>
      </w:r>
      <w:r w:rsidR="00737460">
        <w:t xml:space="preserve">bastaba </w:t>
      </w:r>
      <w:r>
        <w:t xml:space="preserve">con señalar que su familia no podía hacerlo-, sino que lo calificara además de peligroso, esto es, capaz de cometer </w:t>
      </w:r>
      <w:r w:rsidR="00737460">
        <w:t>in</w:t>
      </w:r>
      <w:r>
        <w:t>cendios, homicidios</w:t>
      </w:r>
      <w:r w:rsidR="00737460">
        <w:t>,</w:t>
      </w:r>
      <w:r>
        <w:t xml:space="preserve"> violaciones, </w:t>
      </w:r>
      <w:r w:rsidR="00737460">
        <w:t>etc</w:t>
      </w:r>
      <w:r>
        <w:t>., y recién cumplida esa cond</w:t>
      </w:r>
      <w:r w:rsidR="00737460">
        <w:t>ici</w:t>
      </w:r>
      <w:r>
        <w:t xml:space="preserve">ón </w:t>
      </w:r>
      <w:r w:rsidR="00737460">
        <w:t xml:space="preserve">las </w:t>
      </w:r>
      <w:r>
        <w:t>colec</w:t>
      </w:r>
      <w:r w:rsidR="00737460">
        <w:t xml:space="preserve">tividades </w:t>
      </w:r>
      <w:r>
        <w:t>o las autoridades locales aceptaban asisti</w:t>
      </w:r>
      <w:r w:rsidR="00737460">
        <w:t>rlo”</w:t>
      </w:r>
      <w:sdt>
        <w:sdtPr>
          <w:id w:val="-1724362505"/>
          <w:citation/>
        </w:sdtPr>
        <w:sdtContent>
          <w:r w:rsidR="004967BC">
            <w:fldChar w:fldCharType="begin"/>
          </w:r>
          <w:r w:rsidR="00737460">
            <w:instrText xml:space="preserve">CITATION Mic074 \p 258 \l 9226 </w:instrText>
          </w:r>
          <w:r w:rsidR="004967BC">
            <w:fldChar w:fldCharType="separate"/>
          </w:r>
          <w:r w:rsidR="00737460">
            <w:rPr>
              <w:noProof/>
            </w:rPr>
            <w:t xml:space="preserve"> (Foucaul, 2007, pág. </w:t>
          </w:r>
          <w:r w:rsidR="00737460">
            <w:rPr>
              <w:noProof/>
            </w:rPr>
            <w:lastRenderedPageBreak/>
            <w:t>258)</w:t>
          </w:r>
          <w:r w:rsidR="004967BC">
            <w:fldChar w:fldCharType="end"/>
          </w:r>
        </w:sdtContent>
      </w:sdt>
      <w:r w:rsidR="00737460">
        <w:t>.</w:t>
      </w:r>
      <w:r w:rsidR="00703E44">
        <w:t xml:space="preserve"> De esta forma, “</w:t>
      </w:r>
      <w:r>
        <w:t xml:space="preserve">la noción de peligro se convierte en la noción necesaria para hacer pasar un hecho asistencial como un fenómeno de protección y permitir entonces que quienes </w:t>
      </w:r>
      <w:r w:rsidR="00703E44">
        <w:t xml:space="preserve">están encargados de la </w:t>
      </w:r>
      <w:r>
        <w:t>asistencia l</w:t>
      </w:r>
      <w:r w:rsidR="00703E44">
        <w:t>o</w:t>
      </w:r>
      <w:r>
        <w:t xml:space="preserve"> ac</w:t>
      </w:r>
      <w:r w:rsidR="00703E44">
        <w:t>epten”</w:t>
      </w:r>
      <w:sdt>
        <w:sdtPr>
          <w:id w:val="-112440993"/>
          <w:citation/>
        </w:sdtPr>
        <w:sdtContent>
          <w:r w:rsidR="004967BC">
            <w:fldChar w:fldCharType="begin"/>
          </w:r>
          <w:r w:rsidR="00703E44">
            <w:instrText xml:space="preserve">CITATION Mic074 \p 258 \l 9226 </w:instrText>
          </w:r>
          <w:r w:rsidR="004967BC">
            <w:fldChar w:fldCharType="separate"/>
          </w:r>
          <w:r w:rsidR="00703E44">
            <w:rPr>
              <w:noProof/>
            </w:rPr>
            <w:t xml:space="preserve"> (Foucaul, 2007, pág. 258)</w:t>
          </w:r>
          <w:r w:rsidR="004967BC">
            <w:fldChar w:fldCharType="end"/>
          </w:r>
        </w:sdtContent>
      </w:sdt>
      <w:r w:rsidR="00703E44">
        <w:t>.</w:t>
      </w:r>
    </w:p>
    <w:p w:rsidR="00FD2DFF" w:rsidRDefault="00EE3E89" w:rsidP="00937EC5">
      <w:r>
        <w:t>De la misma manera se genera un cambio en la concepción de la sociedad:</w:t>
      </w:r>
    </w:p>
    <w:p w:rsidR="00937EC5" w:rsidRDefault="00937EC5" w:rsidP="00EE3E89">
      <w:pPr>
        <w:pStyle w:val="Cita"/>
        <w:rPr>
          <w:lang w:val="es-ES"/>
        </w:rPr>
      </w:pPr>
      <w:r>
        <w:rPr>
          <w:lang w:val="es-ES"/>
        </w:rPr>
        <w:t>Ha sido absolutamente necesario constituir al</w:t>
      </w:r>
      <w:r w:rsidR="00EE3E89">
        <w:rPr>
          <w:lang w:val="es-ES"/>
        </w:rPr>
        <w:t xml:space="preserve"> </w:t>
      </w:r>
      <w:r>
        <w:rPr>
          <w:lang w:val="es-ES"/>
        </w:rPr>
        <w:t>pueblo en sujeto moral, separarlo pues de la delincuencia, separar</w:t>
      </w:r>
      <w:r w:rsidR="00EE3E89">
        <w:rPr>
          <w:lang w:val="es-ES"/>
        </w:rPr>
        <w:t xml:space="preserve"> </w:t>
      </w:r>
      <w:r>
        <w:rPr>
          <w:lang w:val="es-ES"/>
        </w:rPr>
        <w:t>claramente el grupo de los delincuentes, mostrarlos como peligrosos, no</w:t>
      </w:r>
      <w:r w:rsidR="00EE3E89">
        <w:rPr>
          <w:lang w:val="es-ES"/>
        </w:rPr>
        <w:t xml:space="preserve"> </w:t>
      </w:r>
      <w:r>
        <w:rPr>
          <w:lang w:val="es-ES"/>
        </w:rPr>
        <w:t>sólo para los ricos sino también para los pobres, mostrarlos cargados de</w:t>
      </w:r>
      <w:r w:rsidR="00EE3E89">
        <w:rPr>
          <w:lang w:val="es-ES"/>
        </w:rPr>
        <w:t xml:space="preserve"> </w:t>
      </w:r>
      <w:r>
        <w:rPr>
          <w:lang w:val="es-ES"/>
        </w:rPr>
        <w:t>todos los vicios y origen de los más grandes peligros. De aquí el</w:t>
      </w:r>
      <w:r w:rsidR="00EE3E89">
        <w:rPr>
          <w:lang w:val="es-ES"/>
        </w:rPr>
        <w:t xml:space="preserve"> </w:t>
      </w:r>
      <w:r>
        <w:rPr>
          <w:lang w:val="es-ES"/>
        </w:rPr>
        <w:t>nacimiento de la literatura policíaca y la importancia de periódicos de</w:t>
      </w:r>
      <w:r w:rsidR="00EE3E89">
        <w:rPr>
          <w:lang w:val="es-ES"/>
        </w:rPr>
        <w:t xml:space="preserve"> </w:t>
      </w:r>
      <w:r>
        <w:rPr>
          <w:lang w:val="es-ES"/>
        </w:rPr>
        <w:t>sucesos, de los relatos horribles de crímenes.</w:t>
      </w:r>
      <w:sdt>
        <w:sdtPr>
          <w:rPr>
            <w:lang w:val="es-ES"/>
          </w:rPr>
          <w:id w:val="-584838296"/>
          <w:citation/>
        </w:sdtPr>
        <w:sdtContent>
          <w:r w:rsidR="004967BC">
            <w:rPr>
              <w:lang w:val="es-ES"/>
            </w:rPr>
            <w:fldChar w:fldCharType="begin"/>
          </w:r>
          <w:r w:rsidR="00EE3E89">
            <w:instrText xml:space="preserve">CITATION Mic79 \p 91 \l 9226 </w:instrText>
          </w:r>
          <w:r w:rsidR="004967BC">
            <w:rPr>
              <w:lang w:val="es-ES"/>
            </w:rPr>
            <w:fldChar w:fldCharType="separate"/>
          </w:r>
          <w:r w:rsidR="00EE3E89">
            <w:rPr>
              <w:noProof/>
            </w:rPr>
            <w:t xml:space="preserve"> </w:t>
          </w:r>
          <w:r w:rsidR="00EE3E89" w:rsidRPr="00EE3E89">
            <w:rPr>
              <w:noProof/>
            </w:rPr>
            <w:t>(Foucault M. , microfisica del poder, 1979, pág. 91)</w:t>
          </w:r>
          <w:r w:rsidR="004967BC">
            <w:rPr>
              <w:lang w:val="es-ES"/>
            </w:rPr>
            <w:fldChar w:fldCharType="end"/>
          </w:r>
        </w:sdtContent>
      </w:sdt>
    </w:p>
    <w:p w:rsidR="00FC46D9" w:rsidRDefault="00FC46D9" w:rsidP="00FC46D9">
      <w:pPr>
        <w:rPr>
          <w:lang w:val="es-ES"/>
        </w:rPr>
      </w:pPr>
      <w:r>
        <w:rPr>
          <w:lang w:val="es-ES"/>
        </w:rPr>
        <w:t>El otro tema característico en el pensamiento de Foucault donde es posible rastrear la noción de peligro es el caso de la sexualidad.</w:t>
      </w:r>
      <w:r w:rsidR="002F6D9D">
        <w:rPr>
          <w:lang w:val="es-ES"/>
        </w:rPr>
        <w:t xml:space="preserve"> Foucault logra mostrar en sus texto como la sexualidad durante el siglo XVIII y los siguientes fue objeto de un tratamiento discursivo que tuvo como consecuencia la transformación completa de nuestra visión del sexo, hasta el punto que Foucault afirma que el sexo tal como lo conocemos </w:t>
      </w:r>
      <w:r w:rsidR="00B01068">
        <w:rPr>
          <w:lang w:val="es-ES"/>
        </w:rPr>
        <w:t xml:space="preserve">en tanto objeto de una conjunto de discursos </w:t>
      </w:r>
      <w:r w:rsidR="002F6D9D">
        <w:rPr>
          <w:lang w:val="es-ES"/>
        </w:rPr>
        <w:t>fue una construcción de ese siglo.</w:t>
      </w:r>
    </w:p>
    <w:p w:rsidR="00FC46D9" w:rsidRDefault="00B01068" w:rsidP="00D71325">
      <w:r>
        <w:rPr>
          <w:lang w:val="es-ES"/>
        </w:rPr>
        <w:t xml:space="preserve">Si el discurso alrededor de la locura integró en un solo aparato a la ciencia médica y a las instituciones jurídicas, el discurso alrededor del sexo fue incluso más complejo, pues se mezclaban en este sistema discursos </w:t>
      </w:r>
      <w:r w:rsidR="007B140C">
        <w:rPr>
          <w:lang w:val="es-ES"/>
        </w:rPr>
        <w:t xml:space="preserve">que venían de la biología, la </w:t>
      </w:r>
      <w:r>
        <w:rPr>
          <w:lang w:val="es-ES"/>
        </w:rPr>
        <w:t>psiqui</w:t>
      </w:r>
      <w:r w:rsidR="007B140C">
        <w:rPr>
          <w:lang w:val="es-ES"/>
        </w:rPr>
        <w:t>atría</w:t>
      </w:r>
      <w:r>
        <w:rPr>
          <w:lang w:val="es-ES"/>
        </w:rPr>
        <w:t xml:space="preserve">, </w:t>
      </w:r>
      <w:r w:rsidR="007B140C">
        <w:rPr>
          <w:lang w:val="es-ES"/>
        </w:rPr>
        <w:t xml:space="preserve">la psicología, la </w:t>
      </w:r>
      <w:r>
        <w:rPr>
          <w:lang w:val="es-ES"/>
        </w:rPr>
        <w:t>pedag</w:t>
      </w:r>
      <w:r w:rsidR="007B140C">
        <w:rPr>
          <w:lang w:val="es-ES"/>
        </w:rPr>
        <w:t>ogía</w:t>
      </w:r>
      <w:r>
        <w:rPr>
          <w:lang w:val="es-ES"/>
        </w:rPr>
        <w:t xml:space="preserve"> y </w:t>
      </w:r>
      <w:r w:rsidR="007B140C">
        <w:rPr>
          <w:lang w:val="es-ES"/>
        </w:rPr>
        <w:t>el derecho</w:t>
      </w:r>
      <w:r>
        <w:rPr>
          <w:lang w:val="es-ES"/>
        </w:rPr>
        <w:t>.</w:t>
      </w:r>
      <w:r w:rsidR="007B140C">
        <w:rPr>
          <w:lang w:val="es-ES"/>
        </w:rPr>
        <w:t xml:space="preserve"> </w:t>
      </w:r>
      <w:r w:rsidR="007B140C" w:rsidRPr="007B140C">
        <w:t>El propósito de estos discursos era fundamentalmente clasificatorio</w:t>
      </w:r>
      <w:r w:rsidR="007B140C">
        <w:t xml:space="preserve">. Se clasificaba a la gente de tal manera que se distinguía entre el normal y el pervertido. La sexualidad dejó de ser un asunto de prácticas y pasó a ser un asunto de </w:t>
      </w:r>
      <w:r w:rsidR="00DD3FD5">
        <w:t xml:space="preserve">sujetos </w:t>
      </w:r>
      <w:r w:rsidR="007B140C">
        <w:t xml:space="preserve">que eran asociados a nuevas categorías: como el homosexual. </w:t>
      </w:r>
      <w:r w:rsidR="00D71325">
        <w:t>El sujeto empieza entonces a ser considerado, juzgado y tratado en base a su nueva naturaleza.</w:t>
      </w:r>
      <w:r w:rsidR="0060588F">
        <w:t xml:space="preserve"> Por todos lados </w:t>
      </w:r>
      <w:r w:rsidR="0060588F">
        <w:lastRenderedPageBreak/>
        <w:t>entonces se clasificaban sujetos y se exponían sus hábitos mostrando en cada uno de ellos una amenaza y provocando un miedo hacia ciertos sujetos. Este discurso científico sobre la sexualidad:</w:t>
      </w:r>
    </w:p>
    <w:p w:rsidR="0060588F" w:rsidRDefault="0060588F" w:rsidP="0060588F">
      <w:pPr>
        <w:pStyle w:val="Cita"/>
      </w:pPr>
      <w:r>
        <w:t>So pretexto de decir la verdad, por todas partes encendía miedos; a las menores oscilaciones de la sexualidad prestaba una dinastía imaginaria de males destinados a repercutir en generaciones enteras; afirmó como peligrosos para la sociedad entera los hábitos furtivos de los tímidos y las pequeñas manías más solitarias; como fin de los placeres insólitos puso nada menos que la muerte: la de los individuos, la de las generaciones, la de la especie.</w:t>
      </w:r>
      <w:sdt>
        <w:sdtPr>
          <w:id w:val="317391990"/>
          <w:citation/>
        </w:sdtPr>
        <w:sdtContent>
          <w:r w:rsidR="004967BC">
            <w:fldChar w:fldCharType="begin"/>
          </w:r>
          <w:r>
            <w:instrText xml:space="preserve">CITATION Mic01 \p 45 \l 9226 </w:instrText>
          </w:r>
          <w:r w:rsidR="004967BC">
            <w:fldChar w:fldCharType="separate"/>
          </w:r>
          <w:r>
            <w:rPr>
              <w:noProof/>
            </w:rPr>
            <w:t xml:space="preserve"> (Foucault M. , Historia de la sexualidad I, 2001, pág. 45)</w:t>
          </w:r>
          <w:r w:rsidR="004967BC">
            <w:fldChar w:fldCharType="end"/>
          </w:r>
        </w:sdtContent>
      </w:sdt>
    </w:p>
    <w:p w:rsidR="00FC46D9" w:rsidRDefault="00D71325" w:rsidP="00D71325">
      <w:r>
        <w:t>Vemos además que a la base de estas clasificaciones encontramos la noción de peligro:</w:t>
      </w:r>
    </w:p>
    <w:p w:rsidR="00D71325" w:rsidRDefault="00D71325" w:rsidP="00D71325">
      <w:pPr>
        <w:pStyle w:val="Cita"/>
      </w:pPr>
      <w:r>
        <w:t>Todos esos controles sociales que se desarrollaron a fines del siglo pasado y que filtraban la sexualidad de las parejas, de los padres y de los niños, de los adolescentes peligrosos y en peligro -emprendiendo la tarea de proteger, separar y prevenir, señalando peligros por todas partes, llamando la atención, exigiendo diagnósticos, amontonando informes, organizando terapéuticas; irradiaron discursos alrededor del sexo, intensificando la consciencia de un peligro incesante.</w:t>
      </w:r>
      <w:sdt>
        <w:sdtPr>
          <w:id w:val="471325366"/>
          <w:citation/>
        </w:sdtPr>
        <w:sdtContent>
          <w:r w:rsidR="004967BC">
            <w:fldChar w:fldCharType="begin"/>
          </w:r>
          <w:r>
            <w:instrText xml:space="preserve">CITATION Mic01 \p 41 \l 9226 </w:instrText>
          </w:r>
          <w:r w:rsidR="004967BC">
            <w:fldChar w:fldCharType="separate"/>
          </w:r>
          <w:r>
            <w:rPr>
              <w:noProof/>
            </w:rPr>
            <w:t xml:space="preserve"> (Foucault M. , Historia de la sexualidad I, 2001, pág. 41)</w:t>
          </w:r>
          <w:r w:rsidR="004967BC">
            <w:fldChar w:fldCharType="end"/>
          </w:r>
        </w:sdtContent>
      </w:sdt>
    </w:p>
    <w:p w:rsidR="00D71325" w:rsidRDefault="008B6FFE" w:rsidP="00D71325">
      <w:r>
        <w:t>Un caso especial en este tema es el caso del niño. El niño empezó a ser tratado como una fuente de sexualidad que podría llegar a ser peligrosa, pero que debía ser también protegida:</w:t>
      </w:r>
    </w:p>
    <w:p w:rsidR="008B6FFE" w:rsidRDefault="008B6FFE" w:rsidP="008B6FFE">
      <w:pPr>
        <w:pStyle w:val="Cita"/>
      </w:pPr>
      <w:r>
        <w:t xml:space="preserve">Doble afirmación de que casi todos los niños se entregan o son susceptibles de entregarse a una actividad sexual, y de que siendo esa actividad indebida, a la vez "natural" y "contra </w:t>
      </w:r>
      <w:r>
        <w:lastRenderedPageBreak/>
        <w:t>natura", trae consigo peligros físicos y morales, colectivos e individuales; los niños son definidos como seres sexuales "liminares", más acá del sexo y ya en él, a caballo en una peligrosa línea divisoria; los padres, las familias, los educadores, los médicos, y más tarde los psicólogos, deben tomar a su cargo, de manera continua, ese germen sexual precioso y peligroso, peligroso y en peligro.</w:t>
      </w:r>
      <w:sdt>
        <w:sdtPr>
          <w:id w:val="-340393035"/>
          <w:citation/>
        </w:sdtPr>
        <w:sdtContent>
          <w:r w:rsidR="004967BC">
            <w:fldChar w:fldCharType="begin"/>
          </w:r>
          <w:r>
            <w:instrText xml:space="preserve">CITATION Mic01 \p 62 \l 9226 </w:instrText>
          </w:r>
          <w:r w:rsidR="004967BC">
            <w:fldChar w:fldCharType="separate"/>
          </w:r>
          <w:r>
            <w:rPr>
              <w:noProof/>
            </w:rPr>
            <w:t xml:space="preserve"> (Foucault M. , Historia de la sexualidad I, 2001, pág. 62)</w:t>
          </w:r>
          <w:r w:rsidR="004967BC">
            <w:fldChar w:fldCharType="end"/>
          </w:r>
        </w:sdtContent>
      </w:sdt>
    </w:p>
    <w:p w:rsidR="008B6FFE" w:rsidRDefault="008B6FFE" w:rsidP="008B6FFE">
      <w:r>
        <w:t>Aquí también encontramos</w:t>
      </w:r>
      <w:r w:rsidR="002A78BF">
        <w:t xml:space="preserve"> como en el caso del loco criminal que el peligro el que hablamos se trata de uno muy especial. Es un peligro social, lo que en este caso tiene también una caracterización biológica:</w:t>
      </w:r>
    </w:p>
    <w:p w:rsidR="008B6FFE" w:rsidRDefault="008B6FFE" w:rsidP="008B6FFE">
      <w:pPr>
        <w:pStyle w:val="Cita"/>
      </w:pPr>
      <w:r>
        <w:rPr>
          <w:lang w:val="es-ES"/>
        </w:rPr>
        <w:t>La sexualización del niño se llevó a cabo con la forma de una campaña por la salud de la raza (la sexualidad precoz, desde el siglo XVIII hasta fines del XIX, fue presentada como una amenaza epidémica capaz de comprometer no sólo la futura salud de los adultos sino también el porvenir de la sociedad y de la especie entera).</w:t>
      </w:r>
      <w:sdt>
        <w:sdtPr>
          <w:rPr>
            <w:lang w:val="es-ES"/>
          </w:rPr>
          <w:id w:val="-1783556575"/>
          <w:citation/>
        </w:sdtPr>
        <w:sdtContent>
          <w:r w:rsidR="004967BC">
            <w:rPr>
              <w:lang w:val="es-ES"/>
            </w:rPr>
            <w:fldChar w:fldCharType="begin"/>
          </w:r>
          <w:r>
            <w:instrText xml:space="preserve">CITATION Mic01 \p 87 \l 9226 </w:instrText>
          </w:r>
          <w:r w:rsidR="004967BC">
            <w:rPr>
              <w:lang w:val="es-ES"/>
            </w:rPr>
            <w:fldChar w:fldCharType="separate"/>
          </w:r>
          <w:r>
            <w:rPr>
              <w:noProof/>
            </w:rPr>
            <w:t xml:space="preserve"> </w:t>
          </w:r>
          <w:r w:rsidRPr="008B6FFE">
            <w:rPr>
              <w:noProof/>
            </w:rPr>
            <w:t>(Foucault M. , Historia de la sexualidad I, 2001, pág. 87)</w:t>
          </w:r>
          <w:r w:rsidR="004967BC">
            <w:rPr>
              <w:lang w:val="es-ES"/>
            </w:rPr>
            <w:fldChar w:fldCharType="end"/>
          </w:r>
        </w:sdtContent>
      </w:sdt>
    </w:p>
    <w:p w:rsidR="00D71325" w:rsidRPr="00E01D59" w:rsidRDefault="004E20BC" w:rsidP="004E20BC">
      <w:r>
        <w:t>Como material de ejemplificación de esta consideración podemos citar a un médico del siglo XVIII que es citado por Foucault y que se refiere al caso de la masturbación en los niños:</w:t>
      </w:r>
    </w:p>
    <w:p w:rsidR="00FD2DFF" w:rsidRDefault="00FD2DFF" w:rsidP="004E20BC">
      <w:pPr>
        <w:pStyle w:val="Cita"/>
        <w:rPr>
          <w:lang w:val="es-ES"/>
        </w:rPr>
      </w:pPr>
      <w:r>
        <w:rPr>
          <w:lang w:val="es-ES"/>
        </w:rPr>
        <w:t>Los jóvenes atacados por una pérdida de semen "llevan en toda la disposición del cuerpo la</w:t>
      </w:r>
      <w:r w:rsidR="004E20BC">
        <w:rPr>
          <w:lang w:val="es-ES"/>
        </w:rPr>
        <w:t xml:space="preserve"> </w:t>
      </w:r>
      <w:r>
        <w:rPr>
          <w:lang w:val="es-ES"/>
        </w:rPr>
        <w:t>huella de la</w:t>
      </w:r>
      <w:r w:rsidR="004E20BC">
        <w:rPr>
          <w:lang w:val="es-ES"/>
        </w:rPr>
        <w:t xml:space="preserve"> </w:t>
      </w:r>
      <w:r>
        <w:rPr>
          <w:lang w:val="es-ES"/>
        </w:rPr>
        <w:t>caducidad y de la vejez; se vuelven flojos, sin fuerza, embotados, estúpidos, agobiados, encorvados,</w:t>
      </w:r>
      <w:r w:rsidR="004E20BC">
        <w:rPr>
          <w:lang w:val="es-ES"/>
        </w:rPr>
        <w:t xml:space="preserve"> </w:t>
      </w:r>
      <w:r>
        <w:rPr>
          <w:lang w:val="es-ES"/>
        </w:rPr>
        <w:t>incapaces de nada, con la tez pálida, blanca, afeminada, sin apetito, sin calor, los miembros pesados, las piernas</w:t>
      </w:r>
      <w:r w:rsidR="004E20BC">
        <w:rPr>
          <w:lang w:val="es-ES"/>
        </w:rPr>
        <w:t xml:space="preserve"> </w:t>
      </w:r>
      <w:r>
        <w:rPr>
          <w:lang w:val="es-ES"/>
        </w:rPr>
        <w:t>entumecidas, de una debilidad extrema, en una palabra casi perdidos por completo. Esta enfermedad es incluso, en</w:t>
      </w:r>
      <w:r w:rsidR="004E20BC">
        <w:rPr>
          <w:lang w:val="es-ES"/>
        </w:rPr>
        <w:t xml:space="preserve"> </w:t>
      </w:r>
      <w:r>
        <w:rPr>
          <w:lang w:val="es-ES"/>
        </w:rPr>
        <w:t xml:space="preserve">muchos de ellos, un avance hacia la parálisis; ¿cómo en efecto podría lograrse la potencia nerviosa, </w:t>
      </w:r>
      <w:r>
        <w:rPr>
          <w:lang w:val="es-ES"/>
        </w:rPr>
        <w:lastRenderedPageBreak/>
        <w:t>habiéndose</w:t>
      </w:r>
      <w:r w:rsidR="004E20BC">
        <w:rPr>
          <w:lang w:val="es-ES"/>
        </w:rPr>
        <w:t xml:space="preserve"> </w:t>
      </w:r>
      <w:r>
        <w:rPr>
          <w:lang w:val="es-ES"/>
        </w:rPr>
        <w:t>debilitado la naturaleza en el principio regenerador y en la fuente misma de la vida?" Esta enfermedad "vergonzosa</w:t>
      </w:r>
      <w:r w:rsidR="004E20BC">
        <w:rPr>
          <w:lang w:val="es-ES"/>
        </w:rPr>
        <w:t xml:space="preserve"> </w:t>
      </w:r>
      <w:r>
        <w:rPr>
          <w:lang w:val="es-ES"/>
        </w:rPr>
        <w:t>por sí misma" es "peligrosa pues conduce al marasmo, perjudicial a la sociedad pues se opone a la propagación de la especie; porque es en todos los</w:t>
      </w:r>
      <w:r w:rsidR="004E20BC">
        <w:rPr>
          <w:lang w:val="es-ES"/>
        </w:rPr>
        <w:t xml:space="preserve"> </w:t>
      </w:r>
      <w:r>
        <w:rPr>
          <w:lang w:val="es-ES"/>
        </w:rPr>
        <w:t>respectos la</w:t>
      </w:r>
      <w:r w:rsidR="004E20BC">
        <w:rPr>
          <w:lang w:val="es-ES"/>
        </w:rPr>
        <w:t xml:space="preserve"> </w:t>
      </w:r>
      <w:r>
        <w:rPr>
          <w:lang w:val="es-ES"/>
        </w:rPr>
        <w:t>fuente de una infinidad de males, exige auxilios diligentes"</w:t>
      </w:r>
      <w:sdt>
        <w:sdtPr>
          <w:rPr>
            <w:lang w:val="es-ES"/>
          </w:rPr>
          <w:id w:val="-1894269911"/>
          <w:citation/>
        </w:sdtPr>
        <w:sdtContent>
          <w:r w:rsidR="004967BC">
            <w:rPr>
              <w:lang w:val="es-ES"/>
            </w:rPr>
            <w:fldChar w:fldCharType="begin"/>
          </w:r>
          <w:r w:rsidR="004E20BC">
            <w:instrText xml:space="preserve">CITATION Mic003 \p 17 \l 9226 </w:instrText>
          </w:r>
          <w:r w:rsidR="004967BC">
            <w:rPr>
              <w:lang w:val="es-ES"/>
            </w:rPr>
            <w:fldChar w:fldCharType="separate"/>
          </w:r>
          <w:r w:rsidR="004E20BC">
            <w:rPr>
              <w:noProof/>
            </w:rPr>
            <w:t xml:space="preserve"> </w:t>
          </w:r>
          <w:r w:rsidR="004E20BC" w:rsidRPr="004E20BC">
            <w:rPr>
              <w:noProof/>
            </w:rPr>
            <w:t>(Foucault M. , Historia de la sexualidad II, 2000, pág. 17)</w:t>
          </w:r>
          <w:r w:rsidR="004967BC">
            <w:rPr>
              <w:lang w:val="es-ES"/>
            </w:rPr>
            <w:fldChar w:fldCharType="end"/>
          </w:r>
        </w:sdtContent>
      </w:sdt>
    </w:p>
    <w:p w:rsidR="004E20BC" w:rsidRDefault="004E20BC">
      <w:pPr>
        <w:spacing w:before="0" w:after="160" w:line="259" w:lineRule="auto"/>
        <w:ind w:firstLine="0"/>
        <w:jc w:val="left"/>
        <w:rPr>
          <w:rFonts w:eastAsiaTheme="majorEastAsia" w:cstheme="majorBidi"/>
          <w:b/>
          <w:sz w:val="36"/>
          <w:szCs w:val="26"/>
        </w:rPr>
      </w:pPr>
      <w:r>
        <w:br w:type="page"/>
      </w:r>
    </w:p>
    <w:p w:rsidR="002B0754" w:rsidRDefault="004039B5" w:rsidP="004342EF">
      <w:pPr>
        <w:pStyle w:val="Ttulo2"/>
      </w:pPr>
      <w:bookmarkStart w:id="20" w:name="_Toc12899012"/>
      <w:r>
        <w:lastRenderedPageBreak/>
        <w:t>Conclusión</w:t>
      </w:r>
      <w:bookmarkEnd w:id="20"/>
    </w:p>
    <w:p w:rsidR="00A57560" w:rsidRDefault="002C593D" w:rsidP="004F183D">
      <w:r>
        <w:t>Una de las tesis principales de Foucault es que el conocimiento tiene la capacidad de producir cosas</w:t>
      </w:r>
      <w:r w:rsidR="00CD24D4">
        <w:t>. La idea es que el conocimiento siempre está ligado con un conjunto de prácticas que definen lo real o lo normal. Esa conexión entre saber y poder se puede evidenciar en las sociedades disciplinares. La medicina y la psiquiatría determinaron un conjunto de saberes y de prácticas relacionadas con ciertas instituciones, y el concepto de enfermo, o de loco fue creado a partir del acoplamiento de estos elementos. Pasa algo similar en el caso de los regímenes de seguridad. El régimen de verdad del liberalismo, la economía política, determina un número de prácticas y de ejercicios de seguridad que crean unos espacios</w:t>
      </w:r>
      <w:r w:rsidR="00674746">
        <w:t xml:space="preserve"> y unas entidades completamente</w:t>
      </w:r>
      <w:r w:rsidR="00CD24D4">
        <w:t xml:space="preserve"> nuevas. El concepto de especie, traído de la biología y del darwinismo es también de radical importancia aquí.</w:t>
      </w:r>
      <w:r w:rsidR="00A57560">
        <w:t xml:space="preserve"> </w:t>
      </w:r>
    </w:p>
    <w:p w:rsidR="00EF1671" w:rsidRDefault="00906628" w:rsidP="00EF1671">
      <w:r>
        <w:t>Para Foucault</w:t>
      </w:r>
      <w:r w:rsidR="00EF1671" w:rsidRPr="00E155B3">
        <w:t xml:space="preserve">, las relaciones de poder </w:t>
      </w:r>
      <w:r>
        <w:t xml:space="preserve">alrededor de los discursos o saberes </w:t>
      </w:r>
      <w:r w:rsidR="00EF1671" w:rsidRPr="00E155B3">
        <w:t>son un elemento clave para la construcción un cuerpo o conglomerado social</w:t>
      </w:r>
      <w:r>
        <w:t>,</w:t>
      </w:r>
      <w:r w:rsidR="00EF1671" w:rsidRPr="00E155B3">
        <w:t xml:space="preserve"> </w:t>
      </w:r>
      <w:r>
        <w:t>“</w:t>
      </w:r>
      <w:r>
        <w:rPr>
          <w:i/>
        </w:rPr>
        <w:t>n</w:t>
      </w:r>
      <w:r w:rsidR="00EF1671" w:rsidRPr="000C3ADF">
        <w:rPr>
          <w:i/>
        </w:rPr>
        <w:t>o hay ejercicio del poder sin cierta economía de los discursos de verdad que funcionan es, a partir y a través de ese poder. El poder nos somete a la producción de la verdad y solo podemos ejercer el poder por la producción de la verdad</w:t>
      </w:r>
      <w:r w:rsidR="00EF1671" w:rsidRPr="00E155B3">
        <w:t>”.</w:t>
      </w:r>
      <w:sdt>
        <w:sdtPr>
          <w:id w:val="984929173"/>
          <w:citation/>
        </w:sdtPr>
        <w:sdtContent>
          <w:r w:rsidR="004967BC">
            <w:fldChar w:fldCharType="begin"/>
          </w:r>
          <w:r w:rsidR="00674746">
            <w:instrText xml:space="preserve">CITATION Mic00 \p 34 \t  \l 9226 </w:instrText>
          </w:r>
          <w:r w:rsidR="004967BC">
            <w:fldChar w:fldCharType="separate"/>
          </w:r>
          <w:r w:rsidR="00674746">
            <w:rPr>
              <w:noProof/>
            </w:rPr>
            <w:t xml:space="preserve"> (Foucault, 2000, pág. 34)</w:t>
          </w:r>
          <w:r w:rsidR="004967BC">
            <w:fldChar w:fldCharType="end"/>
          </w:r>
        </w:sdtContent>
      </w:sdt>
      <w:r>
        <w:t>.</w:t>
      </w:r>
    </w:p>
    <w:p w:rsidR="00E563EF" w:rsidRDefault="00E563EF" w:rsidP="00EF1671">
      <w:r>
        <w:t xml:space="preserve">La tesis fundamental de Foucault en relación con la sociedades de seguridad es que a partir de la segunda mitad del siglo XVII se crean ciertos problemas alrededor del orden social, problemas que se encuentran ligados con la naturaleza biológica de la especie y que determinaron el curso de ciertas formas de control social que necesitaban a su vez, garantizar que el sujeto se sintiera libre a la vez que ejercer tal control. Dentro de este esquema está visto que la noción de peligro tiene una especial importancia. No se trata solamente de dominar, sino de crear un tipo de sujeto que viva alrededor de la noción de peligro, que vea su vida como siempre </w:t>
      </w:r>
      <w:r w:rsidR="00A15B3C">
        <w:t xml:space="preserve">en riesgo. </w:t>
      </w:r>
      <w:r>
        <w:t xml:space="preserve">  </w:t>
      </w:r>
    </w:p>
    <w:p w:rsidR="005B00D0" w:rsidRDefault="00A57560" w:rsidP="00A57560">
      <w:pPr>
        <w:pStyle w:val="NormalWeb"/>
        <w:spacing w:line="360" w:lineRule="auto"/>
      </w:pPr>
      <w:r>
        <w:lastRenderedPageBreak/>
        <w:t>Pensamos que la mirada de Foucault sobre las nuevas maneras de entender la acción de gobernar propio de los Estados modernos es importante como una herramienta de comprensión de nuestra realidad, no sólo se abre la posibilidad de entender una política interna al interior de un territorio, sino que se puede extender en la amplitud de una política global que debe garantizar la seguridad de un conjunto de elementos biológicos con respecto a sus peligros internos.</w:t>
      </w:r>
    </w:p>
    <w:p w:rsidR="00456ECC" w:rsidRDefault="00A57560" w:rsidP="00A57560">
      <w:pPr>
        <w:pStyle w:val="NormalWeb"/>
        <w:spacing w:line="360" w:lineRule="auto"/>
      </w:pPr>
      <w:r>
        <w:t xml:space="preserve">Este proceso es también conocido como </w:t>
      </w:r>
      <w:r>
        <w:rPr>
          <w:i/>
        </w:rPr>
        <w:t>higienismo,</w:t>
      </w:r>
      <w:r>
        <w:t xml:space="preserve"> </w:t>
      </w:r>
      <w:r w:rsidRPr="004342EF">
        <w:t>definido como una estrategia sobre la vida, que se conecta con el liberalismo clásico</w:t>
      </w:r>
      <w:r>
        <w:t xml:space="preserve"> </w:t>
      </w:r>
      <w:sdt>
        <w:sdtPr>
          <w:id w:val="-1987925896"/>
          <w:citation/>
        </w:sdtPr>
        <w:sdtContent>
          <w:r w:rsidR="004967BC">
            <w:fldChar w:fldCharType="begin"/>
          </w:r>
          <w:r w:rsidR="00A7464A">
            <w:instrText xml:space="preserve">CITATION Mic09 \t  \l 9226 </w:instrText>
          </w:r>
          <w:r w:rsidR="004967BC">
            <w:fldChar w:fldCharType="separate"/>
          </w:r>
          <w:r w:rsidR="00A7464A">
            <w:rPr>
              <w:noProof/>
            </w:rPr>
            <w:t>(Foucault, 2009)</w:t>
          </w:r>
          <w:r w:rsidR="004967BC">
            <w:fldChar w:fldCharType="end"/>
          </w:r>
        </w:sdtContent>
      </w:sdt>
      <w:r w:rsidRPr="004342EF">
        <w:t xml:space="preserve">. </w:t>
      </w:r>
      <w:r w:rsidR="00456ECC">
        <w:t xml:space="preserve">Una especie de medicina social cuyo objeto es precisamente sanar la sociedad. </w:t>
      </w:r>
    </w:p>
    <w:p w:rsidR="00013C27" w:rsidRDefault="00A57560" w:rsidP="00456ECC">
      <w:pPr>
        <w:pStyle w:val="Cita"/>
      </w:pPr>
      <w:r w:rsidRPr="00F65791">
        <w:rPr>
          <w:rStyle w:val="nfasis"/>
          <w:color w:val="555555"/>
          <w:shd w:val="clear" w:color="auto" w:fill="FFFFFF"/>
        </w:rPr>
        <w:t>La medicina siempre fue una práctica social, y lo que no existe es la medicina “no social”, la medicina individualista, clínica, del coloquio singular, puesto que fue un mito con el que se defendió y justificó cierta forma de práctica social de la medicina: el ejercicio privado de la profesión.</w:t>
      </w:r>
      <w:r>
        <w:t xml:space="preserve">” </w:t>
      </w:r>
      <w:sdt>
        <w:sdtPr>
          <w:id w:val="87507964"/>
          <w:citation/>
        </w:sdtPr>
        <w:sdtContent>
          <w:r w:rsidR="004967BC">
            <w:fldChar w:fldCharType="begin"/>
          </w:r>
          <w:r>
            <w:instrText xml:space="preserve"> CITATION Mic09 \l 9226 </w:instrText>
          </w:r>
          <w:r w:rsidR="004967BC">
            <w:fldChar w:fldCharType="separate"/>
          </w:r>
          <w:r>
            <w:rPr>
              <w:noProof/>
            </w:rPr>
            <w:t>(Foucault, La crisis de la medicina o la crisis de la antimedicina, 2009)</w:t>
          </w:r>
          <w:r w:rsidR="004967BC">
            <w:rPr>
              <w:noProof/>
            </w:rPr>
            <w:fldChar w:fldCharType="end"/>
          </w:r>
        </w:sdtContent>
      </w:sdt>
      <w:r>
        <w:t xml:space="preserve"> </w:t>
      </w:r>
    </w:p>
    <w:p w:rsidR="00CB2A34" w:rsidRDefault="00340151" w:rsidP="00BF1DBD">
      <w:r w:rsidRPr="004D1D1C">
        <w:t xml:space="preserve">Es de importancia resaltar aquí la aparición del peligro social. No es cualquier peligro el que </w:t>
      </w:r>
      <w:r w:rsidRPr="00BF1DBD">
        <w:t>se sirve, sino un peligro que amenaza la existencia de una civilización, de un pueblo y en últimas la existencia de la especie, visto como una existencia biológica que es amenazada desde dentro.</w:t>
      </w:r>
    </w:p>
    <w:p w:rsidR="0088348A" w:rsidRDefault="0088348A" w:rsidP="00BF1DBD"/>
    <w:p w:rsidR="0043577A" w:rsidRDefault="00340151" w:rsidP="00BF1DBD">
      <w:r w:rsidRPr="00BF1DBD">
        <w:t xml:space="preserve">¿Cómo conciliar la libertad del mundo moderno con el control social? En un mundo donde es necesario que los sujetos se sientan libres, la mejor manera de ejercer control es que los mismos sujetos se vean integrados en dinámicas que los obligue a </w:t>
      </w:r>
      <w:proofErr w:type="spellStart"/>
      <w:r w:rsidR="00883B67" w:rsidRPr="00BF1DBD">
        <w:t>autorregularse</w:t>
      </w:r>
      <w:proofErr w:type="spellEnd"/>
      <w:r w:rsidRPr="00BF1DBD">
        <w:t xml:space="preserve"> y a temer ciertas conductas, y por eso la noción de peligro resultó tan atractiva para las dinámicas de poder modernas. </w:t>
      </w:r>
      <w:r w:rsidR="00CB2A34" w:rsidRPr="00BF1DBD">
        <w:t xml:space="preserve">Foucault empezó a ver como el liberalismo logra crear </w:t>
      </w:r>
      <w:r w:rsidRPr="00BF1DBD">
        <w:t>“”</w:t>
      </w:r>
      <w:r w:rsidR="00CB2A34" w:rsidRPr="00BF1DBD">
        <w:t>condiciones de aceptabilidad” que enmarcan el funcionamiento de una lógica gubernamental inédita que apunta a que los sujetos se piensen a sí mismos como libres aun cuando los objetivos de su conducta sean predeterminados.”</w:t>
      </w:r>
      <w:sdt>
        <w:sdtPr>
          <w:id w:val="311456065"/>
          <w:citation/>
        </w:sdtPr>
        <w:sdtContent>
          <w:r w:rsidR="004967BC" w:rsidRPr="00BF1DBD">
            <w:fldChar w:fldCharType="begin"/>
          </w:r>
          <w:r w:rsidR="00CB2A34" w:rsidRPr="00BF1DBD">
            <w:instrText xml:space="preserve">CITATION Rei06 \p 21 \l 9226 </w:instrText>
          </w:r>
          <w:r w:rsidR="004967BC" w:rsidRPr="00BF1DBD">
            <w:fldChar w:fldCharType="separate"/>
          </w:r>
          <w:r w:rsidR="00CB2A34" w:rsidRPr="00BF1DBD">
            <w:rPr>
              <w:noProof/>
            </w:rPr>
            <w:t xml:space="preserve"> (Giraldo, 2006, pág. 21)</w:t>
          </w:r>
          <w:r w:rsidR="004967BC" w:rsidRPr="00BF1DBD">
            <w:fldChar w:fldCharType="end"/>
          </w:r>
        </w:sdtContent>
      </w:sdt>
      <w:r w:rsidR="00CB2A34" w:rsidRPr="00BF1DBD">
        <w:t>.</w:t>
      </w:r>
      <w:r w:rsidR="00CB2A34" w:rsidRPr="00BF1DBD">
        <w:rPr>
          <w:i/>
        </w:rPr>
        <w:t xml:space="preserve"> </w:t>
      </w:r>
      <w:r w:rsidRPr="00BF1DBD">
        <w:t xml:space="preserve">También por eso es importante resaltar </w:t>
      </w:r>
      <w:r w:rsidRPr="00BF1DBD">
        <w:lastRenderedPageBreak/>
        <w:t>que Foucault no sólo habla del peligro, sino de la creación de toda una cultura del peligro.</w:t>
      </w:r>
      <w:r>
        <w:rPr>
          <w:i/>
        </w:rPr>
        <w:t xml:space="preserve"> </w:t>
      </w:r>
      <w:r w:rsidR="0043577A">
        <w:t>Esto quiere decir que el peligro no es impuesto, sino que se desarrolla todo un discurso de verdad que se integra en la visión de la sociedad de tal forma que el ciudadano se siente rodeado de peligro y evalúa sus relaciones sociales en relación con ese sentimiento.</w:t>
      </w:r>
    </w:p>
    <w:p w:rsidR="00CB2A34" w:rsidRDefault="0043577A" w:rsidP="00CB2A34">
      <w:pPr>
        <w:spacing w:after="0"/>
        <w:rPr>
          <w:i/>
        </w:rPr>
      </w:pPr>
      <w:r w:rsidRPr="0043577A">
        <w:t>Desde esta perspectivas las sociedades biopolíticas son</w:t>
      </w:r>
      <w:r w:rsidR="00CB2A34" w:rsidRPr="0043577A">
        <w:rPr>
          <w:i/>
        </w:rPr>
        <w:t xml:space="preserve"> “maquinarias de producción de miedos y de dispositivos para enfrentarlos”</w:t>
      </w:r>
      <w:sdt>
        <w:sdtPr>
          <w:rPr>
            <w:i/>
          </w:rPr>
          <w:id w:val="104462680"/>
          <w:citation/>
        </w:sdtPr>
        <w:sdtContent>
          <w:r w:rsidR="004967BC" w:rsidRPr="0043577A">
            <w:rPr>
              <w:i/>
            </w:rPr>
            <w:fldChar w:fldCharType="begin"/>
          </w:r>
          <w:r w:rsidR="00CB2A34" w:rsidRPr="0043577A">
            <w:rPr>
              <w:i/>
            </w:rPr>
            <w:instrText xml:space="preserve">CITATION Die05 \p 120 \l 9226 </w:instrText>
          </w:r>
          <w:r w:rsidR="004967BC" w:rsidRPr="0043577A">
            <w:rPr>
              <w:i/>
            </w:rPr>
            <w:fldChar w:fldCharType="separate"/>
          </w:r>
          <w:r w:rsidR="00CB2A34" w:rsidRPr="0043577A">
            <w:rPr>
              <w:i/>
              <w:noProof/>
            </w:rPr>
            <w:t xml:space="preserve"> </w:t>
          </w:r>
          <w:r w:rsidR="00CB2A34" w:rsidRPr="0043577A">
            <w:rPr>
              <w:noProof/>
            </w:rPr>
            <w:t>(Galeano, 2005, pág. 120)</w:t>
          </w:r>
          <w:r w:rsidR="004967BC" w:rsidRPr="0043577A">
            <w:rPr>
              <w:i/>
            </w:rPr>
            <w:fldChar w:fldCharType="end"/>
          </w:r>
        </w:sdtContent>
      </w:sdt>
      <w:r w:rsidR="00CB2A34" w:rsidRPr="0043577A">
        <w:t xml:space="preserve">  Por lo cual </w:t>
      </w:r>
      <w:r w:rsidR="00CB2A34" w:rsidRPr="0043577A">
        <w:rPr>
          <w:i/>
        </w:rPr>
        <w:t>“no funciona como un espacio de resistencia frente a los imperativos del Soberano sino como un campo de intervención producido por una nueva y más sutil tecnología de gobierno”</w:t>
      </w:r>
      <w:sdt>
        <w:sdtPr>
          <w:rPr>
            <w:i/>
          </w:rPr>
          <w:id w:val="-67654106"/>
          <w:citation/>
        </w:sdtPr>
        <w:sdtContent>
          <w:r w:rsidR="004967BC" w:rsidRPr="0043577A">
            <w:rPr>
              <w:i/>
            </w:rPr>
            <w:fldChar w:fldCharType="begin"/>
          </w:r>
          <w:r w:rsidR="00CB2A34" w:rsidRPr="0043577A">
            <w:rPr>
              <w:i/>
            </w:rPr>
            <w:instrText xml:space="preserve">CITATION Rei06 \p 19 \l 9226 </w:instrText>
          </w:r>
          <w:r w:rsidR="004967BC" w:rsidRPr="0043577A">
            <w:rPr>
              <w:i/>
            </w:rPr>
            <w:fldChar w:fldCharType="separate"/>
          </w:r>
          <w:r w:rsidR="00CB2A34" w:rsidRPr="0043577A">
            <w:rPr>
              <w:i/>
              <w:noProof/>
            </w:rPr>
            <w:t xml:space="preserve"> </w:t>
          </w:r>
          <w:r w:rsidR="00CB2A34" w:rsidRPr="0043577A">
            <w:rPr>
              <w:noProof/>
            </w:rPr>
            <w:t>(Giraldo, 2006, pág. 19</w:t>
          </w:r>
          <w:r w:rsidR="00CB2A34" w:rsidRPr="0043577A">
            <w:rPr>
              <w:i/>
              <w:noProof/>
            </w:rPr>
            <w:t>)</w:t>
          </w:r>
          <w:r w:rsidR="004967BC" w:rsidRPr="0043577A">
            <w:rPr>
              <w:i/>
            </w:rPr>
            <w:fldChar w:fldCharType="end"/>
          </w:r>
        </w:sdtContent>
      </w:sdt>
      <w:r w:rsidR="00CB2A34">
        <w:rPr>
          <w:i/>
        </w:rPr>
        <w:t xml:space="preserve"> </w:t>
      </w:r>
    </w:p>
    <w:p w:rsidR="0043577A" w:rsidRPr="0043577A" w:rsidRDefault="0043577A" w:rsidP="0043577A">
      <w:r>
        <w:t xml:space="preserve">Tal vez lo más interesan te de esto es que el peligro no es definido esencialmente como la muerte. El peligro no es la muerte de un sujeto. La muerte es un hecho y por tanto no es considerada por el poder sino de cierta manera indirecta. </w:t>
      </w:r>
      <w:r w:rsidRPr="0043577A">
        <w:t xml:space="preserve">El biopoder puede </w:t>
      </w:r>
      <w:r>
        <w:t xml:space="preserve">describirse </w:t>
      </w:r>
      <w:r w:rsidRPr="0043577A">
        <w:t>como una descalificación progresiva de la muerte porque:</w:t>
      </w:r>
    </w:p>
    <w:p w:rsidR="0043577A" w:rsidRPr="0043577A" w:rsidRDefault="0043577A" w:rsidP="0043577A">
      <w:pPr>
        <w:pStyle w:val="Cita"/>
      </w:pPr>
      <w:r w:rsidRPr="0043577A">
        <w:t>Cada vez hay menos derecho a hacer morir, y más a hacer vivir. En el momento que el poder es cada vez más el derecho a intervenir sobre la manera de vivir, la muerte es el final del poder, es el exterior. Sobre la muerte el biopoder no tiene nada que hacer, el poder domina no sobre la muerte sino sobre la mortalidad, es decir, sobre la gestión de la vida y la mayor o menor probabilidad de que se muera, pero no sobre la muerte misma, por ello la muerte se delega a lo más privado.</w:t>
      </w:r>
      <w:sdt>
        <w:sdtPr>
          <w:id w:val="-1242016579"/>
          <w:citation/>
        </w:sdtPr>
        <w:sdtContent>
          <w:r w:rsidR="004967BC" w:rsidRPr="0043577A">
            <w:fldChar w:fldCharType="begin"/>
          </w:r>
          <w:r w:rsidRPr="0043577A">
            <w:instrText xml:space="preserve"> CITATION Rei06 \l 9226 </w:instrText>
          </w:r>
          <w:r w:rsidR="004967BC" w:rsidRPr="0043577A">
            <w:fldChar w:fldCharType="separate"/>
          </w:r>
          <w:r w:rsidRPr="0043577A">
            <w:t xml:space="preserve"> (Giraldo, 2006)</w:t>
          </w:r>
          <w:r w:rsidR="004967BC" w:rsidRPr="0043577A">
            <w:fldChar w:fldCharType="end"/>
          </w:r>
        </w:sdtContent>
      </w:sdt>
    </w:p>
    <w:p w:rsidR="00C06641" w:rsidRDefault="00C06641" w:rsidP="0043577A"/>
    <w:p w:rsidR="0043577A" w:rsidRDefault="0043577A" w:rsidP="0043577A">
      <w:r w:rsidRPr="0043577A">
        <w:t>En nuestro siglo</w:t>
      </w:r>
      <w:r>
        <w:t xml:space="preserve"> seguimos todavía sufriendo las consecuencias de una cultura del peligro. Las consideraciones de Foucault son vigentes hoy. Vivimos el peligro de las drogas, de la homosexualidad, de los inmigrantes, de los venezolanos que paren hijos en nuestro territorio, de los terroristas del medio oriente, etc. Para </w:t>
      </w:r>
      <w:r>
        <w:lastRenderedPageBreak/>
        <w:t>Foucault el peligro es un sistema de control a través del miedo.</w:t>
      </w:r>
      <w:r w:rsidR="004D1D1C">
        <w:t xml:space="preserve"> Pero, lo cierto es que, más allá de los discursos y de los miedos los peligros existen, entonces la pregunta sería ¿cómo podemos convivir con los peligros pero evitar que ellos puedan ser usados para controlarnos y limitar nuestra libertad? </w:t>
      </w:r>
    </w:p>
    <w:p w:rsidR="00883B67" w:rsidRPr="0043577A" w:rsidRDefault="00883B67" w:rsidP="0043577A"/>
    <w:sdt>
      <w:sdtPr>
        <w:rPr>
          <w:rFonts w:ascii="Times New Roman" w:eastAsiaTheme="minorHAnsi" w:hAnsi="Times New Roman" w:cstheme="minorBidi"/>
          <w:color w:val="auto"/>
          <w:sz w:val="24"/>
          <w:szCs w:val="22"/>
        </w:rPr>
        <w:id w:val="87507965"/>
        <w:docPartObj>
          <w:docPartGallery w:val="Bibliographies"/>
          <w:docPartUnique/>
        </w:docPartObj>
      </w:sdtPr>
      <w:sdtEndPr>
        <w:rPr>
          <w:rFonts w:ascii="Arial" w:hAnsi="Arial" w:cs="Arial"/>
          <w:lang w:val="es-ES"/>
        </w:rPr>
      </w:sdtEndPr>
      <w:sdtContent>
        <w:p w:rsidR="00C432D6" w:rsidRDefault="00C432D6" w:rsidP="00165445">
          <w:pPr>
            <w:pStyle w:val="Ttulo1"/>
            <w:jc w:val="center"/>
          </w:pPr>
        </w:p>
        <w:p w:rsidR="007F183C" w:rsidRPr="004D1D1C" w:rsidRDefault="007F183C" w:rsidP="00456ECC">
          <w:pPr>
            <w:pStyle w:val="Ttulo1"/>
            <w:jc w:val="center"/>
            <w:rPr>
              <w:rStyle w:val="Ttulo2Car"/>
              <w:rFonts w:ascii="Arial" w:hAnsi="Arial" w:cs="Arial"/>
              <w:color w:val="auto"/>
            </w:rPr>
          </w:pPr>
          <w:bookmarkStart w:id="21" w:name="_Toc12899013"/>
          <w:r w:rsidRPr="004D1D1C">
            <w:rPr>
              <w:rStyle w:val="Ttulo2Car"/>
              <w:rFonts w:ascii="Arial" w:hAnsi="Arial" w:cs="Arial"/>
              <w:color w:val="auto"/>
            </w:rPr>
            <w:t>Bibliografía</w:t>
          </w:r>
          <w:bookmarkEnd w:id="21"/>
        </w:p>
        <w:sdt>
          <w:sdtPr>
            <w:rPr>
              <w:rFonts w:ascii="Times New Roman" w:eastAsiaTheme="majorEastAsia" w:hAnsi="Times New Roman" w:cs="Times New Roman"/>
              <w:b/>
              <w:sz w:val="36"/>
              <w:szCs w:val="26"/>
              <w:lang w:val="es-ES"/>
            </w:rPr>
            <w:id w:val="111145805"/>
            <w:bibliography/>
          </w:sdtPr>
          <w:sdtEndPr>
            <w:rPr>
              <w:rFonts w:cs="Arial"/>
            </w:rPr>
          </w:sdtEndPr>
          <w:sdtContent>
            <w:p w:rsidR="00C432D6" w:rsidRPr="0043577A" w:rsidRDefault="004967BC" w:rsidP="00C432D6">
              <w:pPr>
                <w:pStyle w:val="Bibliografa"/>
                <w:numPr>
                  <w:ilvl w:val="0"/>
                  <w:numId w:val="31"/>
                </w:numPr>
                <w:rPr>
                  <w:rFonts w:cs="Times New Roman"/>
                  <w:noProof/>
                  <w:sz w:val="20"/>
                  <w:szCs w:val="24"/>
                </w:rPr>
              </w:pPr>
              <w:r w:rsidRPr="0043577A">
                <w:rPr>
                  <w:rFonts w:cs="Times New Roman"/>
                  <w:sz w:val="20"/>
                  <w:lang w:val="es-ES"/>
                </w:rPr>
                <w:fldChar w:fldCharType="begin"/>
              </w:r>
              <w:r w:rsidR="007F183C" w:rsidRPr="0043577A">
                <w:rPr>
                  <w:rFonts w:cs="Times New Roman"/>
                  <w:sz w:val="20"/>
                  <w:lang w:val="es-ES"/>
                </w:rPr>
                <w:instrText xml:space="preserve"> BIBLIOGRAPHY </w:instrText>
              </w:r>
              <w:r w:rsidRPr="0043577A">
                <w:rPr>
                  <w:rFonts w:cs="Times New Roman"/>
                  <w:sz w:val="20"/>
                  <w:lang w:val="es-ES"/>
                </w:rPr>
                <w:fldChar w:fldCharType="separate"/>
              </w:r>
              <w:r w:rsidR="00C432D6" w:rsidRPr="0043577A">
                <w:rPr>
                  <w:rFonts w:cs="Times New Roman"/>
                  <w:noProof/>
                  <w:sz w:val="20"/>
                </w:rPr>
                <w:t xml:space="preserve">Dominguez, M. (2012). </w:t>
              </w:r>
              <w:r w:rsidR="00C432D6" w:rsidRPr="0043577A">
                <w:rPr>
                  <w:rFonts w:cs="Times New Roman"/>
                  <w:i/>
                  <w:iCs/>
                  <w:noProof/>
                  <w:sz w:val="20"/>
                </w:rPr>
                <w:t>Foucault, el liberalismo y la critica a la filosofia politica.</w:t>
              </w:r>
              <w:r w:rsidR="00C432D6" w:rsidRPr="0043577A">
                <w:rPr>
                  <w:rFonts w:cs="Times New Roman"/>
                  <w:noProof/>
                  <w:sz w:val="20"/>
                </w:rPr>
                <w:t xml:space="preserve"> Madrid, España: Universidad Complutense de Madrid.</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Esposito, R. (2009). </w:t>
              </w:r>
              <w:r w:rsidRPr="0043577A">
                <w:rPr>
                  <w:rFonts w:cs="Times New Roman"/>
                  <w:i/>
                  <w:iCs/>
                  <w:noProof/>
                  <w:sz w:val="20"/>
                </w:rPr>
                <w:t>Comunidad, inmunidad y biopolitica.</w:t>
              </w:r>
              <w:r w:rsidRPr="0043577A">
                <w:rPr>
                  <w:rFonts w:cs="Times New Roman"/>
                  <w:noProof/>
                  <w:sz w:val="20"/>
                </w:rPr>
                <w:t xml:space="preserve"> España: Herder.</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 M. (2007). </w:t>
              </w:r>
              <w:r w:rsidRPr="0043577A">
                <w:rPr>
                  <w:rFonts w:cs="Times New Roman"/>
                  <w:i/>
                  <w:iCs/>
                  <w:noProof/>
                  <w:sz w:val="20"/>
                </w:rPr>
                <w:t>El poder Psiquiátrico.</w:t>
              </w:r>
              <w:r w:rsidRPr="0043577A">
                <w:rPr>
                  <w:rFonts w:cs="Times New Roman"/>
                  <w:noProof/>
                  <w:sz w:val="20"/>
                </w:rPr>
                <w:t xml:space="preserve"> México: Fondo de Cultura Económico.</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(1979). </w:t>
              </w:r>
              <w:r w:rsidRPr="0043577A">
                <w:rPr>
                  <w:rFonts w:cs="Times New Roman"/>
                  <w:i/>
                  <w:iCs/>
                  <w:noProof/>
                  <w:sz w:val="20"/>
                </w:rPr>
                <w:t>microfisica del poder.</w:t>
              </w:r>
              <w:r w:rsidRPr="0043577A">
                <w:rPr>
                  <w:rFonts w:cs="Times New Roman"/>
                  <w:noProof/>
                  <w:sz w:val="20"/>
                </w:rPr>
                <w:t xml:space="preserve"> Madrid: La piquera.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(1996). </w:t>
              </w:r>
              <w:r w:rsidRPr="0043577A">
                <w:rPr>
                  <w:rFonts w:cs="Times New Roman"/>
                  <w:i/>
                  <w:iCs/>
                  <w:noProof/>
                  <w:sz w:val="20"/>
                </w:rPr>
                <w:t>La verdad y las formas juridicas.</w:t>
              </w:r>
              <w:r w:rsidRPr="0043577A">
                <w:rPr>
                  <w:rFonts w:cs="Times New Roman"/>
                  <w:noProof/>
                  <w:sz w:val="20"/>
                </w:rPr>
                <w:t xml:space="preserve"> Barcelona, España: Gedisa.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(2000). </w:t>
              </w:r>
              <w:r w:rsidRPr="0043577A">
                <w:rPr>
                  <w:rFonts w:cs="Times New Roman"/>
                  <w:i/>
                  <w:iCs/>
                  <w:noProof/>
                  <w:sz w:val="20"/>
                </w:rPr>
                <w:t>Defender la sociedad- Curso del collége de Francé (1975-1976).</w:t>
              </w:r>
              <w:r w:rsidRPr="0043577A">
                <w:rPr>
                  <w:rFonts w:cs="Times New Roman"/>
                  <w:noProof/>
                  <w:sz w:val="20"/>
                </w:rPr>
                <w:t xml:space="preserve"> Buenos Aires, Argentina: Fondo de Cultura Económica de Argentina.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(2000). </w:t>
              </w:r>
              <w:r w:rsidRPr="0043577A">
                <w:rPr>
                  <w:rFonts w:cs="Times New Roman"/>
                  <w:i/>
                  <w:iCs/>
                  <w:noProof/>
                  <w:sz w:val="20"/>
                </w:rPr>
                <w:t>Historia de la sexualidad II.</w:t>
              </w:r>
              <w:r w:rsidRPr="0043577A">
                <w:rPr>
                  <w:rFonts w:cs="Times New Roman"/>
                  <w:noProof/>
                  <w:sz w:val="20"/>
                </w:rPr>
                <w:t xml:space="preserve"> Barcelona: Siglo XXI.</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(2000). </w:t>
              </w:r>
              <w:r w:rsidRPr="0043577A">
                <w:rPr>
                  <w:rFonts w:cs="Times New Roman"/>
                  <w:i/>
                  <w:iCs/>
                  <w:noProof/>
                  <w:sz w:val="20"/>
                </w:rPr>
                <w:t>Los anormales.</w:t>
              </w:r>
              <w:r w:rsidRPr="0043577A">
                <w:rPr>
                  <w:rFonts w:cs="Times New Roman"/>
                  <w:noProof/>
                  <w:sz w:val="20"/>
                </w:rPr>
                <w:t xml:space="preserve"> Buenos Aires: FCE.</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(2000). </w:t>
              </w:r>
              <w:r w:rsidRPr="0043577A">
                <w:rPr>
                  <w:rFonts w:cs="Times New Roman"/>
                  <w:i/>
                  <w:iCs/>
                  <w:noProof/>
                  <w:sz w:val="20"/>
                </w:rPr>
                <w:t>Vigilar y castigar.</w:t>
              </w:r>
              <w:r w:rsidRPr="0043577A">
                <w:rPr>
                  <w:rFonts w:cs="Times New Roman"/>
                  <w:noProof/>
                  <w:sz w:val="20"/>
                </w:rPr>
                <w:t xml:space="preserve"> Buenos Aires: Siglo XXI.</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(2001). </w:t>
              </w:r>
              <w:r w:rsidRPr="0043577A">
                <w:rPr>
                  <w:rFonts w:cs="Times New Roman"/>
                  <w:i/>
                  <w:iCs/>
                  <w:noProof/>
                  <w:sz w:val="20"/>
                </w:rPr>
                <w:t>Historia de la sexualidad I.</w:t>
              </w:r>
              <w:r w:rsidRPr="0043577A">
                <w:rPr>
                  <w:rFonts w:cs="Times New Roman"/>
                  <w:noProof/>
                  <w:sz w:val="20"/>
                </w:rPr>
                <w:t xml:space="preserve"> Mexico: Siglo XXI.</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(2006). </w:t>
              </w:r>
              <w:r w:rsidRPr="0043577A">
                <w:rPr>
                  <w:rFonts w:cs="Times New Roman"/>
                  <w:i/>
                  <w:iCs/>
                  <w:noProof/>
                  <w:sz w:val="20"/>
                </w:rPr>
                <w:t>Seguridad, territorio y poblaciòn.</w:t>
              </w:r>
              <w:r w:rsidRPr="0043577A">
                <w:rPr>
                  <w:rFonts w:cs="Times New Roman"/>
                  <w:noProof/>
                  <w:sz w:val="20"/>
                </w:rPr>
                <w:t xml:space="preserve"> Buenos aires, Argentina: Fondo de cultura economica de Argentina.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(2007). </w:t>
              </w:r>
              <w:r w:rsidRPr="0043577A">
                <w:rPr>
                  <w:rFonts w:cs="Times New Roman"/>
                  <w:i/>
                  <w:iCs/>
                  <w:noProof/>
                  <w:sz w:val="20"/>
                </w:rPr>
                <w:t>Historia de la Locura en la época clásica.</w:t>
              </w:r>
              <w:r w:rsidRPr="0043577A">
                <w:rPr>
                  <w:rFonts w:cs="Times New Roman"/>
                  <w:noProof/>
                  <w:sz w:val="20"/>
                </w:rPr>
                <w:t xml:space="preserve"> México: FCE.</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(2007). </w:t>
              </w:r>
              <w:r w:rsidRPr="0043577A">
                <w:rPr>
                  <w:rFonts w:cs="Times New Roman"/>
                  <w:i/>
                  <w:iCs/>
                  <w:noProof/>
                  <w:sz w:val="20"/>
                </w:rPr>
                <w:t>Nacimiento de la Biopolítica- Curso de Collége de Francé (1978-1979).</w:t>
              </w:r>
              <w:r w:rsidRPr="0043577A">
                <w:rPr>
                  <w:rFonts w:cs="Times New Roman"/>
                  <w:noProof/>
                  <w:sz w:val="20"/>
                </w:rPr>
                <w:t xml:space="preserve"> Buenos Aires, Argentina: Fondo de Cultura Económica de Argentina.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Foucault, M. (2009). </w:t>
              </w:r>
              <w:r w:rsidRPr="0043577A">
                <w:rPr>
                  <w:rFonts w:cs="Times New Roman"/>
                  <w:i/>
                  <w:iCs/>
                  <w:noProof/>
                  <w:sz w:val="20"/>
                </w:rPr>
                <w:t>La crisis de la medicina o la crisis de la antimedicina.</w:t>
              </w:r>
              <w:r w:rsidRPr="0043577A">
                <w:rPr>
                  <w:rFonts w:cs="Times New Roman"/>
                  <w:noProof/>
                  <w:sz w:val="20"/>
                </w:rPr>
                <w:t xml:space="preserve"> Altamira.</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Lopez, P. (2010). </w:t>
              </w:r>
              <w:r w:rsidRPr="0043577A">
                <w:rPr>
                  <w:rFonts w:cs="Times New Roman"/>
                  <w:i/>
                  <w:iCs/>
                  <w:noProof/>
                  <w:sz w:val="20"/>
                </w:rPr>
                <w:t>Biopolitca, liberalismo y neoliberalismo, acción y gestion politica en el ultimo Foucault.</w:t>
              </w:r>
              <w:r w:rsidRPr="0043577A">
                <w:rPr>
                  <w:rFonts w:cs="Times New Roman"/>
                  <w:noProof/>
                  <w:sz w:val="20"/>
                </w:rPr>
                <w:t xml:space="preserve"> Madrid, España: Universidad Complutense de Madrid.</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lastRenderedPageBreak/>
                <w:t xml:space="preserve">Moreno, K. (2013). la biopolitica de Foucault y </w:t>
              </w:r>
              <w:r w:rsidR="007756AA">
                <w:rPr>
                  <w:rFonts w:cs="Times New Roman"/>
                  <w:noProof/>
                  <w:sz w:val="20"/>
                </w:rPr>
                <w:t xml:space="preserve">la filosofia contemporanea. </w:t>
              </w:r>
            </w:p>
            <w:p w:rsidR="00C432D6" w:rsidRPr="0043577A" w:rsidRDefault="00C432D6" w:rsidP="00C432D6">
              <w:pPr>
                <w:pStyle w:val="Bibliografa"/>
                <w:numPr>
                  <w:ilvl w:val="0"/>
                  <w:numId w:val="31"/>
                </w:numPr>
                <w:rPr>
                  <w:rFonts w:cs="Times New Roman"/>
                  <w:noProof/>
                  <w:sz w:val="20"/>
                </w:rPr>
              </w:pPr>
              <w:r w:rsidRPr="0043577A">
                <w:rPr>
                  <w:rFonts w:cs="Times New Roman"/>
                  <w:noProof/>
                  <w:sz w:val="20"/>
                </w:rPr>
                <w:t xml:space="preserve">Rosen, G. (1985). </w:t>
              </w:r>
              <w:r w:rsidRPr="0043577A">
                <w:rPr>
                  <w:rFonts w:cs="Times New Roman"/>
                  <w:i/>
                  <w:iCs/>
                  <w:noProof/>
                  <w:sz w:val="20"/>
                </w:rPr>
                <w:t>De la policia a la medicina social.</w:t>
              </w:r>
              <w:r w:rsidRPr="0043577A">
                <w:rPr>
                  <w:rFonts w:cs="Times New Roman"/>
                  <w:noProof/>
                  <w:sz w:val="20"/>
                </w:rPr>
                <w:t xml:space="preserve"> España: Siglo XXI.</w:t>
              </w:r>
            </w:p>
            <w:p w:rsidR="007F183C" w:rsidRPr="0043577A" w:rsidRDefault="004967BC" w:rsidP="00C432D6">
              <w:pPr>
                <w:rPr>
                  <w:rFonts w:cs="Arial"/>
                  <w:lang w:val="es-ES"/>
                </w:rPr>
              </w:pPr>
              <w:r w:rsidRPr="0043577A">
                <w:rPr>
                  <w:rFonts w:cs="Times New Roman"/>
                  <w:sz w:val="20"/>
                  <w:lang w:val="es-ES"/>
                </w:rPr>
                <w:fldChar w:fldCharType="end"/>
              </w:r>
            </w:p>
          </w:sdtContent>
        </w:sdt>
      </w:sdtContent>
    </w:sdt>
    <w:p w:rsidR="007F65EE" w:rsidRPr="002B0754" w:rsidRDefault="007F65EE" w:rsidP="00AD226D">
      <w:pPr>
        <w:pStyle w:val="NormalWeb"/>
        <w:spacing w:line="360" w:lineRule="auto"/>
      </w:pPr>
    </w:p>
    <w:sectPr w:rsidR="007F65EE" w:rsidRPr="002B0754" w:rsidSect="006D6BCB">
      <w:pgSz w:w="12240" w:h="15840"/>
      <w:pgMar w:top="1417" w:right="1608"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10BD" w:rsidRDefault="002710BD">
      <w:pPr>
        <w:spacing w:after="0" w:line="240" w:lineRule="auto"/>
      </w:pPr>
      <w:r>
        <w:separator/>
      </w:r>
    </w:p>
  </w:endnote>
  <w:endnote w:type="continuationSeparator" w:id="0">
    <w:p w:rsidR="002710BD" w:rsidRDefault="002710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Garamond">
    <w:altName w:val="Garamond"/>
    <w:panose1 w:val="02020404030301010803"/>
    <w:charset w:val="00"/>
    <w:family w:val="roman"/>
    <w:pitch w:val="variable"/>
    <w:sig w:usb0="00000287" w:usb1="00000000" w:usb2="00000000" w:usb3="00000000" w:csb0="0000009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7619713"/>
      <w:docPartObj>
        <w:docPartGallery w:val="Page Numbers (Bottom of Page)"/>
        <w:docPartUnique/>
      </w:docPartObj>
    </w:sdtPr>
    <w:sdtContent>
      <w:p w:rsidR="007756AA" w:rsidRDefault="007756AA">
        <w:pPr>
          <w:pStyle w:val="Piedepgina"/>
          <w:jc w:val="right"/>
        </w:pPr>
        <w:r w:rsidRPr="004967BC">
          <w:fldChar w:fldCharType="begin"/>
        </w:r>
        <w:r>
          <w:instrText>PAGE   \* MERGEFORMAT</w:instrText>
        </w:r>
        <w:r w:rsidRPr="004967BC">
          <w:fldChar w:fldCharType="separate"/>
        </w:r>
        <w:r w:rsidR="003E7B13" w:rsidRPr="003E7B13">
          <w:rPr>
            <w:noProof/>
            <w:lang w:val="es-ES"/>
          </w:rPr>
          <w:t>8</w:t>
        </w:r>
        <w:r>
          <w:rPr>
            <w:noProof/>
            <w:lang w:val="es-ES"/>
          </w:rPr>
          <w:fldChar w:fldCharType="end"/>
        </w:r>
      </w:p>
    </w:sdtContent>
  </w:sdt>
  <w:p w:rsidR="007756AA" w:rsidRDefault="007756AA" w:rsidP="00883B67">
    <w:pPr>
      <w:pStyle w:val="Piedepgina"/>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5471005"/>
      <w:docPartObj>
        <w:docPartGallery w:val="Page Numbers (Bottom of Page)"/>
        <w:docPartUnique/>
      </w:docPartObj>
    </w:sdtPr>
    <w:sdtContent>
      <w:p w:rsidR="007756AA" w:rsidRDefault="007756AA">
        <w:pPr>
          <w:pStyle w:val="Piedepgina"/>
          <w:jc w:val="right"/>
        </w:pPr>
        <w:r w:rsidRPr="004967BC">
          <w:fldChar w:fldCharType="begin"/>
        </w:r>
        <w:r>
          <w:instrText>PAGE   \* MERGEFORMAT</w:instrText>
        </w:r>
        <w:r w:rsidRPr="004967BC">
          <w:fldChar w:fldCharType="separate"/>
        </w:r>
        <w:r w:rsidR="003B1FB6" w:rsidRPr="003B1FB6">
          <w:rPr>
            <w:noProof/>
            <w:lang w:val="es-ES"/>
          </w:rPr>
          <w:t>1</w:t>
        </w:r>
        <w:r>
          <w:rPr>
            <w:noProof/>
            <w:lang w:val="es-ES"/>
          </w:rPr>
          <w:fldChar w:fldCharType="end"/>
        </w:r>
      </w:p>
    </w:sdtContent>
  </w:sdt>
  <w:p w:rsidR="007756AA" w:rsidRDefault="007756AA">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187757"/>
      <w:docPartObj>
        <w:docPartGallery w:val="Page Numbers (Bottom of Page)"/>
        <w:docPartUnique/>
      </w:docPartObj>
    </w:sdtPr>
    <w:sdtContent>
      <w:p w:rsidR="007756AA" w:rsidRDefault="007756AA">
        <w:pPr>
          <w:pStyle w:val="Piedepgina"/>
          <w:jc w:val="right"/>
        </w:pPr>
        <w:r w:rsidRPr="004967BC">
          <w:fldChar w:fldCharType="begin"/>
        </w:r>
        <w:r>
          <w:instrText>PAGE   \* MERGEFORMAT</w:instrText>
        </w:r>
        <w:r w:rsidRPr="004967BC">
          <w:fldChar w:fldCharType="separate"/>
        </w:r>
        <w:r w:rsidR="003E7B13" w:rsidRPr="003E7B13">
          <w:rPr>
            <w:noProof/>
            <w:lang w:val="es-ES"/>
          </w:rPr>
          <w:t>8</w:t>
        </w:r>
        <w:r>
          <w:rPr>
            <w:noProof/>
            <w:lang w:val="es-ES"/>
          </w:rPr>
          <w:fldChar w:fldCharType="end"/>
        </w:r>
      </w:p>
    </w:sdtContent>
  </w:sdt>
  <w:p w:rsidR="007756AA" w:rsidRDefault="007756A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10BD" w:rsidRDefault="002710BD">
      <w:pPr>
        <w:spacing w:after="0" w:line="240" w:lineRule="auto"/>
      </w:pPr>
      <w:r>
        <w:separator/>
      </w:r>
    </w:p>
  </w:footnote>
  <w:footnote w:type="continuationSeparator" w:id="0">
    <w:p w:rsidR="002710BD" w:rsidRDefault="002710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56AA" w:rsidRDefault="007756AA" w:rsidP="0066010E">
    <w:pPr>
      <w:pStyle w:val="Encabezado"/>
      <w:tabs>
        <w:tab w:val="clear" w:pos="4419"/>
        <w:tab w:val="clear" w:pos="8838"/>
        <w:tab w:val="left" w:pos="7530"/>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C1074"/>
    <w:multiLevelType w:val="hybridMultilevel"/>
    <w:tmpl w:val="14541718"/>
    <w:lvl w:ilvl="0" w:tplc="7D4E7A16">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79812B2"/>
    <w:multiLevelType w:val="multilevel"/>
    <w:tmpl w:val="EEC2175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nsid w:val="07AF7C67"/>
    <w:multiLevelType w:val="hybridMultilevel"/>
    <w:tmpl w:val="9B98A99A"/>
    <w:lvl w:ilvl="0" w:tplc="240A0001">
      <w:start w:val="1"/>
      <w:numFmt w:val="bullet"/>
      <w:lvlText w:val=""/>
      <w:lvlJc w:val="left"/>
      <w:pPr>
        <w:ind w:left="777" w:hanging="360"/>
      </w:pPr>
      <w:rPr>
        <w:rFonts w:ascii="Symbol" w:hAnsi="Symbol" w:hint="default"/>
      </w:rPr>
    </w:lvl>
    <w:lvl w:ilvl="1" w:tplc="240A0003" w:tentative="1">
      <w:start w:val="1"/>
      <w:numFmt w:val="bullet"/>
      <w:lvlText w:val="o"/>
      <w:lvlJc w:val="left"/>
      <w:pPr>
        <w:ind w:left="1497" w:hanging="360"/>
      </w:pPr>
      <w:rPr>
        <w:rFonts w:ascii="Courier New" w:hAnsi="Courier New" w:cs="Courier New" w:hint="default"/>
      </w:rPr>
    </w:lvl>
    <w:lvl w:ilvl="2" w:tplc="240A0005" w:tentative="1">
      <w:start w:val="1"/>
      <w:numFmt w:val="bullet"/>
      <w:lvlText w:val=""/>
      <w:lvlJc w:val="left"/>
      <w:pPr>
        <w:ind w:left="2217" w:hanging="360"/>
      </w:pPr>
      <w:rPr>
        <w:rFonts w:ascii="Wingdings" w:hAnsi="Wingdings" w:hint="default"/>
      </w:rPr>
    </w:lvl>
    <w:lvl w:ilvl="3" w:tplc="240A0001" w:tentative="1">
      <w:start w:val="1"/>
      <w:numFmt w:val="bullet"/>
      <w:lvlText w:val=""/>
      <w:lvlJc w:val="left"/>
      <w:pPr>
        <w:ind w:left="2937" w:hanging="360"/>
      </w:pPr>
      <w:rPr>
        <w:rFonts w:ascii="Symbol" w:hAnsi="Symbol" w:hint="default"/>
      </w:rPr>
    </w:lvl>
    <w:lvl w:ilvl="4" w:tplc="240A0003" w:tentative="1">
      <w:start w:val="1"/>
      <w:numFmt w:val="bullet"/>
      <w:lvlText w:val="o"/>
      <w:lvlJc w:val="left"/>
      <w:pPr>
        <w:ind w:left="3657" w:hanging="360"/>
      </w:pPr>
      <w:rPr>
        <w:rFonts w:ascii="Courier New" w:hAnsi="Courier New" w:cs="Courier New" w:hint="default"/>
      </w:rPr>
    </w:lvl>
    <w:lvl w:ilvl="5" w:tplc="240A0005" w:tentative="1">
      <w:start w:val="1"/>
      <w:numFmt w:val="bullet"/>
      <w:lvlText w:val=""/>
      <w:lvlJc w:val="left"/>
      <w:pPr>
        <w:ind w:left="4377" w:hanging="360"/>
      </w:pPr>
      <w:rPr>
        <w:rFonts w:ascii="Wingdings" w:hAnsi="Wingdings" w:hint="default"/>
      </w:rPr>
    </w:lvl>
    <w:lvl w:ilvl="6" w:tplc="240A0001" w:tentative="1">
      <w:start w:val="1"/>
      <w:numFmt w:val="bullet"/>
      <w:lvlText w:val=""/>
      <w:lvlJc w:val="left"/>
      <w:pPr>
        <w:ind w:left="5097" w:hanging="360"/>
      </w:pPr>
      <w:rPr>
        <w:rFonts w:ascii="Symbol" w:hAnsi="Symbol" w:hint="default"/>
      </w:rPr>
    </w:lvl>
    <w:lvl w:ilvl="7" w:tplc="240A0003" w:tentative="1">
      <w:start w:val="1"/>
      <w:numFmt w:val="bullet"/>
      <w:lvlText w:val="o"/>
      <w:lvlJc w:val="left"/>
      <w:pPr>
        <w:ind w:left="5817" w:hanging="360"/>
      </w:pPr>
      <w:rPr>
        <w:rFonts w:ascii="Courier New" w:hAnsi="Courier New" w:cs="Courier New" w:hint="default"/>
      </w:rPr>
    </w:lvl>
    <w:lvl w:ilvl="8" w:tplc="240A0005" w:tentative="1">
      <w:start w:val="1"/>
      <w:numFmt w:val="bullet"/>
      <w:lvlText w:val=""/>
      <w:lvlJc w:val="left"/>
      <w:pPr>
        <w:ind w:left="6537" w:hanging="360"/>
      </w:pPr>
      <w:rPr>
        <w:rFonts w:ascii="Wingdings" w:hAnsi="Wingdings" w:hint="default"/>
      </w:rPr>
    </w:lvl>
  </w:abstractNum>
  <w:abstractNum w:abstractNumId="3">
    <w:nsid w:val="0EE05CBB"/>
    <w:multiLevelType w:val="hybridMultilevel"/>
    <w:tmpl w:val="302A1AB2"/>
    <w:lvl w:ilvl="0" w:tplc="614C03F4">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0F2A6D58"/>
    <w:multiLevelType w:val="multilevel"/>
    <w:tmpl w:val="55BA208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096032C"/>
    <w:multiLevelType w:val="multilevel"/>
    <w:tmpl w:val="5A7006E4"/>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1F2F0EB9"/>
    <w:multiLevelType w:val="hybridMultilevel"/>
    <w:tmpl w:val="B038E0D6"/>
    <w:lvl w:ilvl="0" w:tplc="ECF61F56">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25B9698E"/>
    <w:multiLevelType w:val="hybridMultilevel"/>
    <w:tmpl w:val="6DD639FE"/>
    <w:lvl w:ilvl="0" w:tplc="240A000F">
      <w:start w:val="1"/>
      <w:numFmt w:val="decimal"/>
      <w:lvlText w:val="%1."/>
      <w:lvlJc w:val="left"/>
      <w:pPr>
        <w:ind w:left="10" w:hanging="360"/>
      </w:pPr>
    </w:lvl>
    <w:lvl w:ilvl="1" w:tplc="240A0019" w:tentative="1">
      <w:start w:val="1"/>
      <w:numFmt w:val="lowerLetter"/>
      <w:lvlText w:val="%2."/>
      <w:lvlJc w:val="left"/>
      <w:pPr>
        <w:ind w:left="730" w:hanging="360"/>
      </w:pPr>
    </w:lvl>
    <w:lvl w:ilvl="2" w:tplc="240A001B" w:tentative="1">
      <w:start w:val="1"/>
      <w:numFmt w:val="lowerRoman"/>
      <w:lvlText w:val="%3."/>
      <w:lvlJc w:val="right"/>
      <w:pPr>
        <w:ind w:left="1450" w:hanging="180"/>
      </w:pPr>
    </w:lvl>
    <w:lvl w:ilvl="3" w:tplc="240A000F" w:tentative="1">
      <w:start w:val="1"/>
      <w:numFmt w:val="decimal"/>
      <w:lvlText w:val="%4."/>
      <w:lvlJc w:val="left"/>
      <w:pPr>
        <w:ind w:left="2170" w:hanging="360"/>
      </w:pPr>
    </w:lvl>
    <w:lvl w:ilvl="4" w:tplc="240A0019" w:tentative="1">
      <w:start w:val="1"/>
      <w:numFmt w:val="lowerLetter"/>
      <w:lvlText w:val="%5."/>
      <w:lvlJc w:val="left"/>
      <w:pPr>
        <w:ind w:left="2890" w:hanging="360"/>
      </w:pPr>
    </w:lvl>
    <w:lvl w:ilvl="5" w:tplc="240A001B" w:tentative="1">
      <w:start w:val="1"/>
      <w:numFmt w:val="lowerRoman"/>
      <w:lvlText w:val="%6."/>
      <w:lvlJc w:val="right"/>
      <w:pPr>
        <w:ind w:left="3610" w:hanging="180"/>
      </w:pPr>
    </w:lvl>
    <w:lvl w:ilvl="6" w:tplc="240A000F" w:tentative="1">
      <w:start w:val="1"/>
      <w:numFmt w:val="decimal"/>
      <w:lvlText w:val="%7."/>
      <w:lvlJc w:val="left"/>
      <w:pPr>
        <w:ind w:left="4330" w:hanging="360"/>
      </w:pPr>
    </w:lvl>
    <w:lvl w:ilvl="7" w:tplc="240A0019" w:tentative="1">
      <w:start w:val="1"/>
      <w:numFmt w:val="lowerLetter"/>
      <w:lvlText w:val="%8."/>
      <w:lvlJc w:val="left"/>
      <w:pPr>
        <w:ind w:left="5050" w:hanging="360"/>
      </w:pPr>
    </w:lvl>
    <w:lvl w:ilvl="8" w:tplc="240A001B" w:tentative="1">
      <w:start w:val="1"/>
      <w:numFmt w:val="lowerRoman"/>
      <w:lvlText w:val="%9."/>
      <w:lvlJc w:val="right"/>
      <w:pPr>
        <w:ind w:left="5770" w:hanging="180"/>
      </w:pPr>
    </w:lvl>
  </w:abstractNum>
  <w:abstractNum w:abstractNumId="8">
    <w:nsid w:val="264427F1"/>
    <w:multiLevelType w:val="hybridMultilevel"/>
    <w:tmpl w:val="246A58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ABA694E"/>
    <w:multiLevelType w:val="hybridMultilevel"/>
    <w:tmpl w:val="FBB625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3046F54"/>
    <w:multiLevelType w:val="hybridMultilevel"/>
    <w:tmpl w:val="4C12A754"/>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nsid w:val="3398039B"/>
    <w:multiLevelType w:val="hybridMultilevel"/>
    <w:tmpl w:val="E754342E"/>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8901927"/>
    <w:multiLevelType w:val="hybridMultilevel"/>
    <w:tmpl w:val="0FA21C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390C2E5B"/>
    <w:multiLevelType w:val="multilevel"/>
    <w:tmpl w:val="880A8A2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39732911"/>
    <w:multiLevelType w:val="hybridMultilevel"/>
    <w:tmpl w:val="24C02264"/>
    <w:lvl w:ilvl="0" w:tplc="240A000F">
      <w:start w:val="1"/>
      <w:numFmt w:val="decimal"/>
      <w:lvlText w:val="%1."/>
      <w:lvlJc w:val="left"/>
      <w:pPr>
        <w:ind w:left="720" w:hanging="360"/>
      </w:pPr>
      <w:rPr>
        <w:rFonts w:ascii="Times New Roman" w:hAnsi="Times New Roman" w:cs="Times New Roman"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3B54335C"/>
    <w:multiLevelType w:val="hybridMultilevel"/>
    <w:tmpl w:val="1DF6AF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BE03CFF"/>
    <w:multiLevelType w:val="hybridMultilevel"/>
    <w:tmpl w:val="856AB5D2"/>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7">
    <w:nsid w:val="3D43690C"/>
    <w:multiLevelType w:val="hybridMultilevel"/>
    <w:tmpl w:val="86F036D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E5B7012"/>
    <w:multiLevelType w:val="multilevel"/>
    <w:tmpl w:val="4E3A8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7F30A3C"/>
    <w:multiLevelType w:val="multilevel"/>
    <w:tmpl w:val="87B46E8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20">
    <w:nsid w:val="4DED5402"/>
    <w:multiLevelType w:val="multilevel"/>
    <w:tmpl w:val="F46C6DD4"/>
    <w:lvl w:ilvl="0">
      <w:start w:val="1"/>
      <w:numFmt w:val="decimal"/>
      <w:lvlText w:val="%1."/>
      <w:lvlJc w:val="left"/>
      <w:pPr>
        <w:ind w:left="1080" w:hanging="360"/>
      </w:pPr>
      <w:rPr>
        <w:rFonts w:ascii="Times New Roman" w:hAnsi="Times New Roman"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1">
    <w:nsid w:val="4F942FC0"/>
    <w:multiLevelType w:val="hybridMultilevel"/>
    <w:tmpl w:val="2458AB10"/>
    <w:lvl w:ilvl="0" w:tplc="240A0001">
      <w:start w:val="1"/>
      <w:numFmt w:val="bullet"/>
      <w:lvlText w:val=""/>
      <w:lvlJc w:val="left"/>
      <w:pPr>
        <w:ind w:left="777" w:hanging="360"/>
      </w:pPr>
      <w:rPr>
        <w:rFonts w:ascii="Symbol" w:hAnsi="Symbol" w:hint="default"/>
      </w:rPr>
    </w:lvl>
    <w:lvl w:ilvl="1" w:tplc="240A0003" w:tentative="1">
      <w:start w:val="1"/>
      <w:numFmt w:val="bullet"/>
      <w:lvlText w:val="o"/>
      <w:lvlJc w:val="left"/>
      <w:pPr>
        <w:ind w:left="1497" w:hanging="360"/>
      </w:pPr>
      <w:rPr>
        <w:rFonts w:ascii="Courier New" w:hAnsi="Courier New" w:cs="Courier New" w:hint="default"/>
      </w:rPr>
    </w:lvl>
    <w:lvl w:ilvl="2" w:tplc="240A0005" w:tentative="1">
      <w:start w:val="1"/>
      <w:numFmt w:val="bullet"/>
      <w:lvlText w:val=""/>
      <w:lvlJc w:val="left"/>
      <w:pPr>
        <w:ind w:left="2217" w:hanging="360"/>
      </w:pPr>
      <w:rPr>
        <w:rFonts w:ascii="Wingdings" w:hAnsi="Wingdings" w:hint="default"/>
      </w:rPr>
    </w:lvl>
    <w:lvl w:ilvl="3" w:tplc="240A0001" w:tentative="1">
      <w:start w:val="1"/>
      <w:numFmt w:val="bullet"/>
      <w:lvlText w:val=""/>
      <w:lvlJc w:val="left"/>
      <w:pPr>
        <w:ind w:left="2937" w:hanging="360"/>
      </w:pPr>
      <w:rPr>
        <w:rFonts w:ascii="Symbol" w:hAnsi="Symbol" w:hint="default"/>
      </w:rPr>
    </w:lvl>
    <w:lvl w:ilvl="4" w:tplc="240A0003" w:tentative="1">
      <w:start w:val="1"/>
      <w:numFmt w:val="bullet"/>
      <w:lvlText w:val="o"/>
      <w:lvlJc w:val="left"/>
      <w:pPr>
        <w:ind w:left="3657" w:hanging="360"/>
      </w:pPr>
      <w:rPr>
        <w:rFonts w:ascii="Courier New" w:hAnsi="Courier New" w:cs="Courier New" w:hint="default"/>
      </w:rPr>
    </w:lvl>
    <w:lvl w:ilvl="5" w:tplc="240A0005" w:tentative="1">
      <w:start w:val="1"/>
      <w:numFmt w:val="bullet"/>
      <w:lvlText w:val=""/>
      <w:lvlJc w:val="left"/>
      <w:pPr>
        <w:ind w:left="4377" w:hanging="360"/>
      </w:pPr>
      <w:rPr>
        <w:rFonts w:ascii="Wingdings" w:hAnsi="Wingdings" w:hint="default"/>
      </w:rPr>
    </w:lvl>
    <w:lvl w:ilvl="6" w:tplc="240A0001" w:tentative="1">
      <w:start w:val="1"/>
      <w:numFmt w:val="bullet"/>
      <w:lvlText w:val=""/>
      <w:lvlJc w:val="left"/>
      <w:pPr>
        <w:ind w:left="5097" w:hanging="360"/>
      </w:pPr>
      <w:rPr>
        <w:rFonts w:ascii="Symbol" w:hAnsi="Symbol" w:hint="default"/>
      </w:rPr>
    </w:lvl>
    <w:lvl w:ilvl="7" w:tplc="240A0003" w:tentative="1">
      <w:start w:val="1"/>
      <w:numFmt w:val="bullet"/>
      <w:lvlText w:val="o"/>
      <w:lvlJc w:val="left"/>
      <w:pPr>
        <w:ind w:left="5817" w:hanging="360"/>
      </w:pPr>
      <w:rPr>
        <w:rFonts w:ascii="Courier New" w:hAnsi="Courier New" w:cs="Courier New" w:hint="default"/>
      </w:rPr>
    </w:lvl>
    <w:lvl w:ilvl="8" w:tplc="240A0005" w:tentative="1">
      <w:start w:val="1"/>
      <w:numFmt w:val="bullet"/>
      <w:lvlText w:val=""/>
      <w:lvlJc w:val="left"/>
      <w:pPr>
        <w:ind w:left="6537" w:hanging="360"/>
      </w:pPr>
      <w:rPr>
        <w:rFonts w:ascii="Wingdings" w:hAnsi="Wingdings" w:hint="default"/>
      </w:rPr>
    </w:lvl>
  </w:abstractNum>
  <w:abstractNum w:abstractNumId="22">
    <w:nsid w:val="5114284A"/>
    <w:multiLevelType w:val="hybridMultilevel"/>
    <w:tmpl w:val="19E0149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574D6893"/>
    <w:multiLevelType w:val="hybridMultilevel"/>
    <w:tmpl w:val="2ACE716A"/>
    <w:lvl w:ilvl="0" w:tplc="58841398">
      <w:start w:val="1"/>
      <w:numFmt w:val="decimal"/>
      <w:lvlText w:val="%1."/>
      <w:lvlJc w:val="left"/>
      <w:pPr>
        <w:ind w:left="1080" w:hanging="360"/>
      </w:pPr>
      <w:rPr>
        <w:rFonts w:ascii="Times New Roman" w:hAnsi="Times New Roman" w:cs="Times New Roman"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4">
    <w:nsid w:val="5DB832CA"/>
    <w:multiLevelType w:val="hybridMultilevel"/>
    <w:tmpl w:val="6778E51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5E8967BF"/>
    <w:multiLevelType w:val="hybridMultilevel"/>
    <w:tmpl w:val="ADDA01C0"/>
    <w:lvl w:ilvl="0" w:tplc="240A0001">
      <w:start w:val="1"/>
      <w:numFmt w:val="bullet"/>
      <w:lvlText w:val=""/>
      <w:lvlJc w:val="left"/>
      <w:pPr>
        <w:ind w:left="2136" w:hanging="360"/>
      </w:pPr>
      <w:rPr>
        <w:rFonts w:ascii="Symbol" w:hAnsi="Symbol"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26">
    <w:nsid w:val="60D937AD"/>
    <w:multiLevelType w:val="hybridMultilevel"/>
    <w:tmpl w:val="368616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61DF0678"/>
    <w:multiLevelType w:val="hybridMultilevel"/>
    <w:tmpl w:val="B2223E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635C1DD0"/>
    <w:multiLevelType w:val="hybridMultilevel"/>
    <w:tmpl w:val="71FE86CA"/>
    <w:lvl w:ilvl="0" w:tplc="37F8900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9">
    <w:nsid w:val="7713564D"/>
    <w:multiLevelType w:val="hybridMultilevel"/>
    <w:tmpl w:val="65FA7F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7D335D22"/>
    <w:multiLevelType w:val="hybridMultilevel"/>
    <w:tmpl w:val="DB222F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
  </w:num>
  <w:num w:numId="2">
    <w:abstractNumId w:val="24"/>
  </w:num>
  <w:num w:numId="3">
    <w:abstractNumId w:val="17"/>
  </w:num>
  <w:num w:numId="4">
    <w:abstractNumId w:val="0"/>
  </w:num>
  <w:num w:numId="5">
    <w:abstractNumId w:val="19"/>
  </w:num>
  <w:num w:numId="6">
    <w:abstractNumId w:val="3"/>
  </w:num>
  <w:num w:numId="7">
    <w:abstractNumId w:val="1"/>
  </w:num>
  <w:num w:numId="8">
    <w:abstractNumId w:val="6"/>
  </w:num>
  <w:num w:numId="9">
    <w:abstractNumId w:val="7"/>
  </w:num>
  <w:num w:numId="10">
    <w:abstractNumId w:val="12"/>
  </w:num>
  <w:num w:numId="11">
    <w:abstractNumId w:val="28"/>
  </w:num>
  <w:num w:numId="12">
    <w:abstractNumId w:val="14"/>
  </w:num>
  <w:num w:numId="13">
    <w:abstractNumId w:val="23"/>
  </w:num>
  <w:num w:numId="14">
    <w:abstractNumId w:val="20"/>
  </w:num>
  <w:num w:numId="15">
    <w:abstractNumId w:val="26"/>
  </w:num>
  <w:num w:numId="16">
    <w:abstractNumId w:val="30"/>
  </w:num>
  <w:num w:numId="17">
    <w:abstractNumId w:val="9"/>
  </w:num>
  <w:num w:numId="18">
    <w:abstractNumId w:val="22"/>
  </w:num>
  <w:num w:numId="19">
    <w:abstractNumId w:val="10"/>
  </w:num>
  <w:num w:numId="20">
    <w:abstractNumId w:val="4"/>
  </w:num>
  <w:num w:numId="21">
    <w:abstractNumId w:val="29"/>
  </w:num>
  <w:num w:numId="22">
    <w:abstractNumId w:val="8"/>
  </w:num>
  <w:num w:numId="23">
    <w:abstractNumId w:val="21"/>
  </w:num>
  <w:num w:numId="24">
    <w:abstractNumId w:val="2"/>
  </w:num>
  <w:num w:numId="25">
    <w:abstractNumId w:val="13"/>
  </w:num>
  <w:num w:numId="26">
    <w:abstractNumId w:val="18"/>
  </w:num>
  <w:num w:numId="27">
    <w:abstractNumId w:val="16"/>
  </w:num>
  <w:num w:numId="28">
    <w:abstractNumId w:val="11"/>
  </w:num>
  <w:num w:numId="29">
    <w:abstractNumId w:val="25"/>
  </w:num>
  <w:num w:numId="30">
    <w:abstractNumId w:val="27"/>
  </w:num>
  <w:num w:numId="31">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A526D1"/>
    <w:rsid w:val="0000223B"/>
    <w:rsid w:val="00007300"/>
    <w:rsid w:val="00007994"/>
    <w:rsid w:val="00012BAD"/>
    <w:rsid w:val="00013C27"/>
    <w:rsid w:val="0001789B"/>
    <w:rsid w:val="00020893"/>
    <w:rsid w:val="000279AE"/>
    <w:rsid w:val="00033F5C"/>
    <w:rsid w:val="000437E1"/>
    <w:rsid w:val="0007019B"/>
    <w:rsid w:val="0007086A"/>
    <w:rsid w:val="0007730F"/>
    <w:rsid w:val="000849BE"/>
    <w:rsid w:val="0008536C"/>
    <w:rsid w:val="00086DFA"/>
    <w:rsid w:val="00087B8F"/>
    <w:rsid w:val="00092879"/>
    <w:rsid w:val="000930E2"/>
    <w:rsid w:val="000A0A1D"/>
    <w:rsid w:val="000A2538"/>
    <w:rsid w:val="000C2A6D"/>
    <w:rsid w:val="000C3ADF"/>
    <w:rsid w:val="000C3ECA"/>
    <w:rsid w:val="000D6AA2"/>
    <w:rsid w:val="000E08EE"/>
    <w:rsid w:val="000E4B19"/>
    <w:rsid w:val="000E7C42"/>
    <w:rsid w:val="000F19E7"/>
    <w:rsid w:val="000F56CF"/>
    <w:rsid w:val="001006EE"/>
    <w:rsid w:val="00120B35"/>
    <w:rsid w:val="00120C30"/>
    <w:rsid w:val="0012132F"/>
    <w:rsid w:val="00127AC4"/>
    <w:rsid w:val="001307E9"/>
    <w:rsid w:val="0013460A"/>
    <w:rsid w:val="00136552"/>
    <w:rsid w:val="00136F9D"/>
    <w:rsid w:val="00137B29"/>
    <w:rsid w:val="001472B4"/>
    <w:rsid w:val="00150330"/>
    <w:rsid w:val="0015390A"/>
    <w:rsid w:val="001562AF"/>
    <w:rsid w:val="00160C03"/>
    <w:rsid w:val="001611A7"/>
    <w:rsid w:val="00165445"/>
    <w:rsid w:val="00184E2D"/>
    <w:rsid w:val="00185BF4"/>
    <w:rsid w:val="00187830"/>
    <w:rsid w:val="00192E2A"/>
    <w:rsid w:val="00193F0B"/>
    <w:rsid w:val="001979F7"/>
    <w:rsid w:val="001B014A"/>
    <w:rsid w:val="001B4036"/>
    <w:rsid w:val="001C35F9"/>
    <w:rsid w:val="001D6FCC"/>
    <w:rsid w:val="001E1AB1"/>
    <w:rsid w:val="001E6890"/>
    <w:rsid w:val="001F57E9"/>
    <w:rsid w:val="00210D10"/>
    <w:rsid w:val="00214457"/>
    <w:rsid w:val="00221266"/>
    <w:rsid w:val="00221C5B"/>
    <w:rsid w:val="0022203C"/>
    <w:rsid w:val="0022510D"/>
    <w:rsid w:val="00230D7B"/>
    <w:rsid w:val="0023729B"/>
    <w:rsid w:val="00247BA0"/>
    <w:rsid w:val="002545D9"/>
    <w:rsid w:val="002548D7"/>
    <w:rsid w:val="00262DBE"/>
    <w:rsid w:val="00263B9A"/>
    <w:rsid w:val="002710BD"/>
    <w:rsid w:val="0027144D"/>
    <w:rsid w:val="00271A50"/>
    <w:rsid w:val="00275F97"/>
    <w:rsid w:val="00284630"/>
    <w:rsid w:val="00284A6A"/>
    <w:rsid w:val="00292E89"/>
    <w:rsid w:val="002A43C7"/>
    <w:rsid w:val="002A50AE"/>
    <w:rsid w:val="002A78BF"/>
    <w:rsid w:val="002B0754"/>
    <w:rsid w:val="002B49CC"/>
    <w:rsid w:val="002C593D"/>
    <w:rsid w:val="002D13C1"/>
    <w:rsid w:val="002D3F6F"/>
    <w:rsid w:val="002D491F"/>
    <w:rsid w:val="002D77E1"/>
    <w:rsid w:val="002E1E46"/>
    <w:rsid w:val="002E57D9"/>
    <w:rsid w:val="002F1F09"/>
    <w:rsid w:val="002F49E5"/>
    <w:rsid w:val="002F6D9D"/>
    <w:rsid w:val="00305728"/>
    <w:rsid w:val="0031036C"/>
    <w:rsid w:val="003103DA"/>
    <w:rsid w:val="00313564"/>
    <w:rsid w:val="003247F8"/>
    <w:rsid w:val="00327E33"/>
    <w:rsid w:val="00334C5C"/>
    <w:rsid w:val="0033511D"/>
    <w:rsid w:val="00340151"/>
    <w:rsid w:val="00345DFA"/>
    <w:rsid w:val="00346E96"/>
    <w:rsid w:val="00350DF0"/>
    <w:rsid w:val="00353DBD"/>
    <w:rsid w:val="00376C35"/>
    <w:rsid w:val="0038550F"/>
    <w:rsid w:val="00386223"/>
    <w:rsid w:val="003919FF"/>
    <w:rsid w:val="0039399E"/>
    <w:rsid w:val="003A3B6C"/>
    <w:rsid w:val="003B1FB6"/>
    <w:rsid w:val="003B498B"/>
    <w:rsid w:val="003C064A"/>
    <w:rsid w:val="003D0DDA"/>
    <w:rsid w:val="003D1BF8"/>
    <w:rsid w:val="003D5798"/>
    <w:rsid w:val="003E1E25"/>
    <w:rsid w:val="003E52F6"/>
    <w:rsid w:val="003E59D9"/>
    <w:rsid w:val="003E6084"/>
    <w:rsid w:val="003E6F74"/>
    <w:rsid w:val="003E7B13"/>
    <w:rsid w:val="003F1867"/>
    <w:rsid w:val="003F3E11"/>
    <w:rsid w:val="004025EF"/>
    <w:rsid w:val="00402E53"/>
    <w:rsid w:val="00403170"/>
    <w:rsid w:val="004039B5"/>
    <w:rsid w:val="00405667"/>
    <w:rsid w:val="00405DF7"/>
    <w:rsid w:val="00414C29"/>
    <w:rsid w:val="00415AF9"/>
    <w:rsid w:val="004204EB"/>
    <w:rsid w:val="00422A3D"/>
    <w:rsid w:val="00424729"/>
    <w:rsid w:val="00425689"/>
    <w:rsid w:val="00425B36"/>
    <w:rsid w:val="00425CF4"/>
    <w:rsid w:val="00433039"/>
    <w:rsid w:val="004342EF"/>
    <w:rsid w:val="0043577A"/>
    <w:rsid w:val="00440E60"/>
    <w:rsid w:val="004429DB"/>
    <w:rsid w:val="00453A2B"/>
    <w:rsid w:val="00456ECC"/>
    <w:rsid w:val="004647D2"/>
    <w:rsid w:val="00471637"/>
    <w:rsid w:val="00480AF7"/>
    <w:rsid w:val="004851C3"/>
    <w:rsid w:val="00486034"/>
    <w:rsid w:val="00494A03"/>
    <w:rsid w:val="004967BC"/>
    <w:rsid w:val="004A7092"/>
    <w:rsid w:val="004B0E93"/>
    <w:rsid w:val="004B2D88"/>
    <w:rsid w:val="004C16B5"/>
    <w:rsid w:val="004C5E66"/>
    <w:rsid w:val="004D1D1C"/>
    <w:rsid w:val="004D713D"/>
    <w:rsid w:val="004E01AE"/>
    <w:rsid w:val="004E0F66"/>
    <w:rsid w:val="004E20BC"/>
    <w:rsid w:val="004E24F0"/>
    <w:rsid w:val="004E3567"/>
    <w:rsid w:val="004E4FB4"/>
    <w:rsid w:val="004F183D"/>
    <w:rsid w:val="004F59CF"/>
    <w:rsid w:val="004F7369"/>
    <w:rsid w:val="00517BEC"/>
    <w:rsid w:val="005257CD"/>
    <w:rsid w:val="005302A8"/>
    <w:rsid w:val="00532606"/>
    <w:rsid w:val="0053758D"/>
    <w:rsid w:val="0055640B"/>
    <w:rsid w:val="00560C16"/>
    <w:rsid w:val="00562395"/>
    <w:rsid w:val="005654A1"/>
    <w:rsid w:val="0056583A"/>
    <w:rsid w:val="0057241C"/>
    <w:rsid w:val="005736C3"/>
    <w:rsid w:val="00574734"/>
    <w:rsid w:val="005772C8"/>
    <w:rsid w:val="00580C9E"/>
    <w:rsid w:val="00585E6F"/>
    <w:rsid w:val="005865C2"/>
    <w:rsid w:val="00590344"/>
    <w:rsid w:val="005964DF"/>
    <w:rsid w:val="005A11EA"/>
    <w:rsid w:val="005A1AF8"/>
    <w:rsid w:val="005A351D"/>
    <w:rsid w:val="005A670A"/>
    <w:rsid w:val="005B00D0"/>
    <w:rsid w:val="005B0321"/>
    <w:rsid w:val="005B042D"/>
    <w:rsid w:val="005B42EF"/>
    <w:rsid w:val="005D04B1"/>
    <w:rsid w:val="005F2623"/>
    <w:rsid w:val="00601E68"/>
    <w:rsid w:val="0060588F"/>
    <w:rsid w:val="00605B92"/>
    <w:rsid w:val="0061230A"/>
    <w:rsid w:val="0061506A"/>
    <w:rsid w:val="00615E73"/>
    <w:rsid w:val="006210C8"/>
    <w:rsid w:val="0062123C"/>
    <w:rsid w:val="00623844"/>
    <w:rsid w:val="00631DB4"/>
    <w:rsid w:val="00634DC0"/>
    <w:rsid w:val="006366D4"/>
    <w:rsid w:val="00637F10"/>
    <w:rsid w:val="00642D34"/>
    <w:rsid w:val="00644B3A"/>
    <w:rsid w:val="006501A9"/>
    <w:rsid w:val="00650E5F"/>
    <w:rsid w:val="006570A0"/>
    <w:rsid w:val="0066010E"/>
    <w:rsid w:val="00665D3B"/>
    <w:rsid w:val="00674746"/>
    <w:rsid w:val="00685FDA"/>
    <w:rsid w:val="00686B78"/>
    <w:rsid w:val="006870FB"/>
    <w:rsid w:val="0069225C"/>
    <w:rsid w:val="006944B5"/>
    <w:rsid w:val="006A5526"/>
    <w:rsid w:val="006B17B6"/>
    <w:rsid w:val="006B3BB9"/>
    <w:rsid w:val="006C2B58"/>
    <w:rsid w:val="006D0192"/>
    <w:rsid w:val="006D0525"/>
    <w:rsid w:val="006D6BCB"/>
    <w:rsid w:val="006D706F"/>
    <w:rsid w:val="006F3D7A"/>
    <w:rsid w:val="007004B2"/>
    <w:rsid w:val="00703E44"/>
    <w:rsid w:val="00712B9B"/>
    <w:rsid w:val="007162D2"/>
    <w:rsid w:val="0072124E"/>
    <w:rsid w:val="00734B74"/>
    <w:rsid w:val="007357B1"/>
    <w:rsid w:val="00737460"/>
    <w:rsid w:val="00737743"/>
    <w:rsid w:val="00744B72"/>
    <w:rsid w:val="00745324"/>
    <w:rsid w:val="00750C99"/>
    <w:rsid w:val="0075518B"/>
    <w:rsid w:val="00760E87"/>
    <w:rsid w:val="0076240A"/>
    <w:rsid w:val="007756AA"/>
    <w:rsid w:val="00783480"/>
    <w:rsid w:val="00792B3D"/>
    <w:rsid w:val="00792D5F"/>
    <w:rsid w:val="007957EF"/>
    <w:rsid w:val="00795CF8"/>
    <w:rsid w:val="00796A8E"/>
    <w:rsid w:val="007A0181"/>
    <w:rsid w:val="007A2CA1"/>
    <w:rsid w:val="007A3D54"/>
    <w:rsid w:val="007A520F"/>
    <w:rsid w:val="007B140C"/>
    <w:rsid w:val="007B2621"/>
    <w:rsid w:val="007B5C99"/>
    <w:rsid w:val="007E0887"/>
    <w:rsid w:val="007E383B"/>
    <w:rsid w:val="007F1206"/>
    <w:rsid w:val="007F183C"/>
    <w:rsid w:val="007F65EE"/>
    <w:rsid w:val="00806644"/>
    <w:rsid w:val="008223F9"/>
    <w:rsid w:val="00845E77"/>
    <w:rsid w:val="00847300"/>
    <w:rsid w:val="00847E42"/>
    <w:rsid w:val="00856D6A"/>
    <w:rsid w:val="00860672"/>
    <w:rsid w:val="0086278B"/>
    <w:rsid w:val="008735CE"/>
    <w:rsid w:val="0087547B"/>
    <w:rsid w:val="00876909"/>
    <w:rsid w:val="00877000"/>
    <w:rsid w:val="008816F4"/>
    <w:rsid w:val="0088348A"/>
    <w:rsid w:val="00883B67"/>
    <w:rsid w:val="00883E0A"/>
    <w:rsid w:val="00890000"/>
    <w:rsid w:val="00891FC5"/>
    <w:rsid w:val="0089306F"/>
    <w:rsid w:val="008948D6"/>
    <w:rsid w:val="00897991"/>
    <w:rsid w:val="008B2229"/>
    <w:rsid w:val="008B6FFE"/>
    <w:rsid w:val="008C157E"/>
    <w:rsid w:val="008C2EA5"/>
    <w:rsid w:val="008D17DE"/>
    <w:rsid w:val="008D1DEE"/>
    <w:rsid w:val="008D2265"/>
    <w:rsid w:val="008E1D28"/>
    <w:rsid w:val="008F526B"/>
    <w:rsid w:val="00903CA2"/>
    <w:rsid w:val="0090435B"/>
    <w:rsid w:val="00906628"/>
    <w:rsid w:val="0091060D"/>
    <w:rsid w:val="0091462A"/>
    <w:rsid w:val="00915172"/>
    <w:rsid w:val="0091520C"/>
    <w:rsid w:val="009157C7"/>
    <w:rsid w:val="00920755"/>
    <w:rsid w:val="00920F33"/>
    <w:rsid w:val="009245EA"/>
    <w:rsid w:val="009260E0"/>
    <w:rsid w:val="00927C24"/>
    <w:rsid w:val="0093039B"/>
    <w:rsid w:val="00935A76"/>
    <w:rsid w:val="00937EC5"/>
    <w:rsid w:val="00941600"/>
    <w:rsid w:val="00956720"/>
    <w:rsid w:val="009676EA"/>
    <w:rsid w:val="0098140B"/>
    <w:rsid w:val="00984C67"/>
    <w:rsid w:val="00991283"/>
    <w:rsid w:val="00991B3D"/>
    <w:rsid w:val="009A6554"/>
    <w:rsid w:val="009B6010"/>
    <w:rsid w:val="009B6F7D"/>
    <w:rsid w:val="009C38CD"/>
    <w:rsid w:val="009D05D3"/>
    <w:rsid w:val="009E32CF"/>
    <w:rsid w:val="009F04D4"/>
    <w:rsid w:val="009F325F"/>
    <w:rsid w:val="009F383F"/>
    <w:rsid w:val="009F450D"/>
    <w:rsid w:val="009F533D"/>
    <w:rsid w:val="009F69B0"/>
    <w:rsid w:val="00A065FB"/>
    <w:rsid w:val="00A14069"/>
    <w:rsid w:val="00A15B3C"/>
    <w:rsid w:val="00A1608D"/>
    <w:rsid w:val="00A230A1"/>
    <w:rsid w:val="00A23C11"/>
    <w:rsid w:val="00A26B08"/>
    <w:rsid w:val="00A35840"/>
    <w:rsid w:val="00A405F8"/>
    <w:rsid w:val="00A45AE2"/>
    <w:rsid w:val="00A461F0"/>
    <w:rsid w:val="00A526D1"/>
    <w:rsid w:val="00A52853"/>
    <w:rsid w:val="00A57560"/>
    <w:rsid w:val="00A63A56"/>
    <w:rsid w:val="00A64127"/>
    <w:rsid w:val="00A6537A"/>
    <w:rsid w:val="00A65644"/>
    <w:rsid w:val="00A7464A"/>
    <w:rsid w:val="00A77AE2"/>
    <w:rsid w:val="00AA43E6"/>
    <w:rsid w:val="00AC1856"/>
    <w:rsid w:val="00AC3E09"/>
    <w:rsid w:val="00AD226D"/>
    <w:rsid w:val="00AE204C"/>
    <w:rsid w:val="00AE2796"/>
    <w:rsid w:val="00AF2F24"/>
    <w:rsid w:val="00AF5B9B"/>
    <w:rsid w:val="00B01068"/>
    <w:rsid w:val="00B10336"/>
    <w:rsid w:val="00B21700"/>
    <w:rsid w:val="00B22281"/>
    <w:rsid w:val="00B23316"/>
    <w:rsid w:val="00B24263"/>
    <w:rsid w:val="00B40FFE"/>
    <w:rsid w:val="00B433F1"/>
    <w:rsid w:val="00B50766"/>
    <w:rsid w:val="00B5419C"/>
    <w:rsid w:val="00B63F2F"/>
    <w:rsid w:val="00B64D93"/>
    <w:rsid w:val="00B65E19"/>
    <w:rsid w:val="00B70832"/>
    <w:rsid w:val="00B73242"/>
    <w:rsid w:val="00B73294"/>
    <w:rsid w:val="00B82006"/>
    <w:rsid w:val="00B84DD1"/>
    <w:rsid w:val="00B8619F"/>
    <w:rsid w:val="00BB0EAB"/>
    <w:rsid w:val="00BD209C"/>
    <w:rsid w:val="00BF1DBD"/>
    <w:rsid w:val="00C0510C"/>
    <w:rsid w:val="00C06641"/>
    <w:rsid w:val="00C10E12"/>
    <w:rsid w:val="00C13B32"/>
    <w:rsid w:val="00C13C33"/>
    <w:rsid w:val="00C23C5A"/>
    <w:rsid w:val="00C325C0"/>
    <w:rsid w:val="00C35B2A"/>
    <w:rsid w:val="00C36A88"/>
    <w:rsid w:val="00C432D6"/>
    <w:rsid w:val="00C45831"/>
    <w:rsid w:val="00C460DF"/>
    <w:rsid w:val="00C635D1"/>
    <w:rsid w:val="00C74E41"/>
    <w:rsid w:val="00C77DD9"/>
    <w:rsid w:val="00C8457E"/>
    <w:rsid w:val="00C87C29"/>
    <w:rsid w:val="00C92297"/>
    <w:rsid w:val="00C93C09"/>
    <w:rsid w:val="00CB1853"/>
    <w:rsid w:val="00CB1D5D"/>
    <w:rsid w:val="00CB2A34"/>
    <w:rsid w:val="00CC7A44"/>
    <w:rsid w:val="00CD06E3"/>
    <w:rsid w:val="00CD23DD"/>
    <w:rsid w:val="00CD24D4"/>
    <w:rsid w:val="00CD2794"/>
    <w:rsid w:val="00CE148E"/>
    <w:rsid w:val="00CE326B"/>
    <w:rsid w:val="00CE4354"/>
    <w:rsid w:val="00CF0481"/>
    <w:rsid w:val="00CF115C"/>
    <w:rsid w:val="00D05AFF"/>
    <w:rsid w:val="00D06D31"/>
    <w:rsid w:val="00D11025"/>
    <w:rsid w:val="00D30313"/>
    <w:rsid w:val="00D313BB"/>
    <w:rsid w:val="00D354F0"/>
    <w:rsid w:val="00D372CF"/>
    <w:rsid w:val="00D415B8"/>
    <w:rsid w:val="00D542AA"/>
    <w:rsid w:val="00D56DD9"/>
    <w:rsid w:val="00D65F94"/>
    <w:rsid w:val="00D71325"/>
    <w:rsid w:val="00D76E16"/>
    <w:rsid w:val="00D774EE"/>
    <w:rsid w:val="00D77693"/>
    <w:rsid w:val="00D85F3B"/>
    <w:rsid w:val="00D93825"/>
    <w:rsid w:val="00D95BF9"/>
    <w:rsid w:val="00DA1AF4"/>
    <w:rsid w:val="00DB054D"/>
    <w:rsid w:val="00DB340C"/>
    <w:rsid w:val="00DC3198"/>
    <w:rsid w:val="00DD3FD5"/>
    <w:rsid w:val="00DD544A"/>
    <w:rsid w:val="00DE6862"/>
    <w:rsid w:val="00DF0935"/>
    <w:rsid w:val="00DF22F9"/>
    <w:rsid w:val="00DF4794"/>
    <w:rsid w:val="00E0301F"/>
    <w:rsid w:val="00E06919"/>
    <w:rsid w:val="00E155B3"/>
    <w:rsid w:val="00E177A5"/>
    <w:rsid w:val="00E370C3"/>
    <w:rsid w:val="00E563EF"/>
    <w:rsid w:val="00E613D1"/>
    <w:rsid w:val="00E62853"/>
    <w:rsid w:val="00E64E69"/>
    <w:rsid w:val="00E7284C"/>
    <w:rsid w:val="00E835D9"/>
    <w:rsid w:val="00E85802"/>
    <w:rsid w:val="00E938FD"/>
    <w:rsid w:val="00E95D92"/>
    <w:rsid w:val="00E97429"/>
    <w:rsid w:val="00EA6106"/>
    <w:rsid w:val="00EB61E1"/>
    <w:rsid w:val="00EC100D"/>
    <w:rsid w:val="00EC25BF"/>
    <w:rsid w:val="00EC2A5D"/>
    <w:rsid w:val="00EC695C"/>
    <w:rsid w:val="00EC7052"/>
    <w:rsid w:val="00ED4836"/>
    <w:rsid w:val="00ED6764"/>
    <w:rsid w:val="00EE3E89"/>
    <w:rsid w:val="00EE558C"/>
    <w:rsid w:val="00EF1671"/>
    <w:rsid w:val="00EF3AB7"/>
    <w:rsid w:val="00EF5FC1"/>
    <w:rsid w:val="00F04568"/>
    <w:rsid w:val="00F07061"/>
    <w:rsid w:val="00F109D5"/>
    <w:rsid w:val="00F11F5E"/>
    <w:rsid w:val="00F14906"/>
    <w:rsid w:val="00F17A17"/>
    <w:rsid w:val="00F22559"/>
    <w:rsid w:val="00F26417"/>
    <w:rsid w:val="00F31A39"/>
    <w:rsid w:val="00F32151"/>
    <w:rsid w:val="00F374FB"/>
    <w:rsid w:val="00F42D54"/>
    <w:rsid w:val="00F45046"/>
    <w:rsid w:val="00F55980"/>
    <w:rsid w:val="00F57543"/>
    <w:rsid w:val="00F63BB7"/>
    <w:rsid w:val="00F64BDC"/>
    <w:rsid w:val="00F65791"/>
    <w:rsid w:val="00F71293"/>
    <w:rsid w:val="00F71869"/>
    <w:rsid w:val="00F763FB"/>
    <w:rsid w:val="00F8242B"/>
    <w:rsid w:val="00F87C2D"/>
    <w:rsid w:val="00F9335D"/>
    <w:rsid w:val="00FA2932"/>
    <w:rsid w:val="00FB0D6B"/>
    <w:rsid w:val="00FB3480"/>
    <w:rsid w:val="00FC0BCC"/>
    <w:rsid w:val="00FC115F"/>
    <w:rsid w:val="00FC46D9"/>
    <w:rsid w:val="00FC5068"/>
    <w:rsid w:val="00FD20B9"/>
    <w:rsid w:val="00FD2DFF"/>
    <w:rsid w:val="00FD4B78"/>
    <w:rsid w:val="00FF113C"/>
    <w:rsid w:val="00FF1C4A"/>
    <w:rsid w:val="00FF642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D1C"/>
    <w:pPr>
      <w:spacing w:before="120" w:after="120" w:line="360" w:lineRule="auto"/>
      <w:ind w:firstLine="397"/>
      <w:jc w:val="both"/>
    </w:pPr>
    <w:rPr>
      <w:rFonts w:ascii="Arial" w:hAnsi="Arial"/>
      <w:sz w:val="24"/>
    </w:rPr>
  </w:style>
  <w:style w:type="paragraph" w:styleId="Ttulo1">
    <w:name w:val="heading 1"/>
    <w:basedOn w:val="Normal"/>
    <w:next w:val="Normal"/>
    <w:link w:val="Ttulo1Car"/>
    <w:uiPriority w:val="9"/>
    <w:qFormat/>
    <w:rsid w:val="003D57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13C27"/>
    <w:pPr>
      <w:keepNext/>
      <w:keepLines/>
      <w:spacing w:after="720" w:line="257" w:lineRule="auto"/>
      <w:jc w:val="center"/>
      <w:outlineLvl w:val="1"/>
    </w:pPr>
    <w:rPr>
      <w:rFonts w:eastAsiaTheme="majorEastAsia" w:cstheme="majorBidi"/>
      <w:b/>
      <w:sz w:val="36"/>
      <w:szCs w:val="26"/>
    </w:rPr>
  </w:style>
  <w:style w:type="paragraph" w:styleId="Ttulo3">
    <w:name w:val="heading 3"/>
    <w:basedOn w:val="Normal"/>
    <w:next w:val="Normal"/>
    <w:link w:val="Ttulo3Car"/>
    <w:uiPriority w:val="9"/>
    <w:unhideWhenUsed/>
    <w:qFormat/>
    <w:rsid w:val="00C74E41"/>
    <w:pPr>
      <w:keepNext/>
      <w:keepLines/>
      <w:spacing w:before="360" w:after="360" w:line="257" w:lineRule="auto"/>
      <w:ind w:firstLine="0"/>
      <w:outlineLvl w:val="2"/>
    </w:pPr>
    <w:rPr>
      <w:rFonts w:eastAsiaTheme="majorEastAsia" w:cstheme="majorBidi"/>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6D1"/>
    <w:pPr>
      <w:spacing w:after="200" w:line="276" w:lineRule="auto"/>
      <w:ind w:left="720"/>
      <w:contextualSpacing/>
    </w:pPr>
  </w:style>
  <w:style w:type="paragraph" w:styleId="NormalWeb">
    <w:name w:val="Normal (Web)"/>
    <w:basedOn w:val="Normal"/>
    <w:uiPriority w:val="99"/>
    <w:unhideWhenUsed/>
    <w:rsid w:val="00A526D1"/>
    <w:pPr>
      <w:spacing w:before="100" w:beforeAutospacing="1" w:after="100" w:afterAutospacing="1" w:line="240" w:lineRule="auto"/>
    </w:pPr>
    <w:rPr>
      <w:rFonts w:eastAsia="Times New Roman" w:cs="Times New Roman"/>
      <w:szCs w:val="24"/>
      <w:lang w:eastAsia="es-CO"/>
    </w:rPr>
  </w:style>
  <w:style w:type="paragraph" w:styleId="Encabezado">
    <w:name w:val="header"/>
    <w:basedOn w:val="Normal"/>
    <w:link w:val="EncabezadoCar"/>
    <w:uiPriority w:val="99"/>
    <w:unhideWhenUsed/>
    <w:rsid w:val="00A526D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26D1"/>
  </w:style>
  <w:style w:type="paragraph" w:styleId="Piedepgina">
    <w:name w:val="footer"/>
    <w:basedOn w:val="Normal"/>
    <w:link w:val="PiedepginaCar"/>
    <w:uiPriority w:val="99"/>
    <w:unhideWhenUsed/>
    <w:rsid w:val="00A526D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26D1"/>
  </w:style>
  <w:style w:type="paragraph" w:customStyle="1" w:styleId="Default">
    <w:name w:val="Default"/>
    <w:rsid w:val="00A526D1"/>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3D5798"/>
    <w:rPr>
      <w:color w:val="0563C1" w:themeColor="hyperlink"/>
      <w:u w:val="single"/>
    </w:rPr>
  </w:style>
  <w:style w:type="paragraph" w:styleId="TDC1">
    <w:name w:val="toc 1"/>
    <w:basedOn w:val="Normal"/>
    <w:next w:val="Normal"/>
    <w:autoRedefine/>
    <w:uiPriority w:val="39"/>
    <w:unhideWhenUsed/>
    <w:rsid w:val="003D5798"/>
    <w:pPr>
      <w:spacing w:after="100"/>
    </w:pPr>
  </w:style>
  <w:style w:type="paragraph" w:styleId="TDC2">
    <w:name w:val="toc 2"/>
    <w:basedOn w:val="Normal"/>
    <w:next w:val="Normal"/>
    <w:autoRedefine/>
    <w:uiPriority w:val="39"/>
    <w:unhideWhenUsed/>
    <w:rsid w:val="003D5798"/>
    <w:pPr>
      <w:spacing w:after="100"/>
      <w:ind w:left="240"/>
    </w:pPr>
  </w:style>
  <w:style w:type="character" w:customStyle="1" w:styleId="Ttulo1Car">
    <w:name w:val="Título 1 Car"/>
    <w:basedOn w:val="Fuentedeprrafopredeter"/>
    <w:link w:val="Ttulo1"/>
    <w:uiPriority w:val="9"/>
    <w:rsid w:val="003D5798"/>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3D5798"/>
    <w:pPr>
      <w:outlineLvl w:val="9"/>
    </w:pPr>
    <w:rPr>
      <w:lang w:eastAsia="es-CO"/>
    </w:rPr>
  </w:style>
  <w:style w:type="character" w:customStyle="1" w:styleId="Ttulo2Car">
    <w:name w:val="Título 2 Car"/>
    <w:basedOn w:val="Fuentedeprrafopredeter"/>
    <w:link w:val="Ttulo2"/>
    <w:uiPriority w:val="9"/>
    <w:rsid w:val="00013C27"/>
    <w:rPr>
      <w:rFonts w:ascii="Times New Roman" w:eastAsiaTheme="majorEastAsia" w:hAnsi="Times New Roman" w:cstheme="majorBidi"/>
      <w:b/>
      <w:sz w:val="36"/>
      <w:szCs w:val="26"/>
    </w:rPr>
  </w:style>
  <w:style w:type="paragraph" w:styleId="Textonotapie">
    <w:name w:val="footnote text"/>
    <w:basedOn w:val="Normal"/>
    <w:link w:val="TextonotapieCar"/>
    <w:uiPriority w:val="99"/>
    <w:semiHidden/>
    <w:unhideWhenUsed/>
    <w:rsid w:val="00230D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30D7B"/>
    <w:rPr>
      <w:sz w:val="20"/>
      <w:szCs w:val="20"/>
    </w:rPr>
  </w:style>
  <w:style w:type="character" w:styleId="Refdenotaalpie">
    <w:name w:val="footnote reference"/>
    <w:basedOn w:val="Fuentedeprrafopredeter"/>
    <w:uiPriority w:val="99"/>
    <w:semiHidden/>
    <w:unhideWhenUsed/>
    <w:rsid w:val="00230D7B"/>
    <w:rPr>
      <w:vertAlign w:val="superscript"/>
    </w:rPr>
  </w:style>
  <w:style w:type="paragraph" w:styleId="Cita">
    <w:name w:val="Quote"/>
    <w:basedOn w:val="Normal"/>
    <w:next w:val="Normal"/>
    <w:link w:val="CitaCar"/>
    <w:uiPriority w:val="29"/>
    <w:qFormat/>
    <w:rsid w:val="00847E42"/>
    <w:pPr>
      <w:spacing w:before="200"/>
      <w:ind w:left="1134" w:right="1134" w:firstLine="0"/>
    </w:pPr>
    <w:rPr>
      <w:i/>
      <w:iCs/>
      <w:color w:val="404040" w:themeColor="text1" w:themeTint="BF"/>
    </w:rPr>
  </w:style>
  <w:style w:type="character" w:customStyle="1" w:styleId="CitaCar">
    <w:name w:val="Cita Car"/>
    <w:basedOn w:val="Fuentedeprrafopredeter"/>
    <w:link w:val="Cita"/>
    <w:uiPriority w:val="29"/>
    <w:rsid w:val="00847E42"/>
    <w:rPr>
      <w:rFonts w:ascii="Times New Roman" w:hAnsi="Times New Roman"/>
      <w:i/>
      <w:iCs/>
      <w:color w:val="404040" w:themeColor="text1" w:themeTint="BF"/>
      <w:sz w:val="24"/>
    </w:rPr>
  </w:style>
  <w:style w:type="character" w:styleId="nfasis">
    <w:name w:val="Emphasis"/>
    <w:basedOn w:val="Fuentedeprrafopredeter"/>
    <w:uiPriority w:val="20"/>
    <w:rsid w:val="00C36A88"/>
    <w:rPr>
      <w:i/>
      <w:iCs/>
    </w:rPr>
  </w:style>
  <w:style w:type="character" w:customStyle="1" w:styleId="Ttulo3Car">
    <w:name w:val="Título 3 Car"/>
    <w:basedOn w:val="Fuentedeprrafopredeter"/>
    <w:link w:val="Ttulo3"/>
    <w:uiPriority w:val="9"/>
    <w:rsid w:val="00C74E41"/>
    <w:rPr>
      <w:rFonts w:ascii="Times New Roman" w:eastAsiaTheme="majorEastAsia" w:hAnsi="Times New Roman" w:cstheme="majorBidi"/>
      <w:i/>
      <w:sz w:val="24"/>
      <w:szCs w:val="24"/>
    </w:rPr>
  </w:style>
  <w:style w:type="paragraph" w:styleId="Bibliografa">
    <w:name w:val="Bibliography"/>
    <w:basedOn w:val="Normal"/>
    <w:next w:val="Normal"/>
    <w:uiPriority w:val="37"/>
    <w:unhideWhenUsed/>
    <w:rsid w:val="00013C27"/>
  </w:style>
  <w:style w:type="paragraph" w:styleId="TDC3">
    <w:name w:val="toc 3"/>
    <w:basedOn w:val="Normal"/>
    <w:next w:val="Normal"/>
    <w:autoRedefine/>
    <w:uiPriority w:val="39"/>
    <w:unhideWhenUsed/>
    <w:rsid w:val="00214457"/>
    <w:pPr>
      <w:tabs>
        <w:tab w:val="right" w:leader="dot" w:pos="8828"/>
      </w:tabs>
      <w:spacing w:after="100"/>
      <w:ind w:left="440"/>
    </w:pPr>
    <w:rPr>
      <w:rFonts w:cstheme="majorBidi"/>
      <w:i/>
      <w:noProof/>
    </w:rPr>
  </w:style>
  <w:style w:type="paragraph" w:styleId="Textodeglobo">
    <w:name w:val="Balloon Text"/>
    <w:basedOn w:val="Normal"/>
    <w:link w:val="TextodegloboCar"/>
    <w:uiPriority w:val="99"/>
    <w:semiHidden/>
    <w:unhideWhenUsed/>
    <w:rsid w:val="000C3ADF"/>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3ADF"/>
    <w:rPr>
      <w:rFonts w:ascii="Tahoma" w:hAnsi="Tahoma" w:cs="Tahoma"/>
      <w:sz w:val="16"/>
      <w:szCs w:val="16"/>
    </w:rPr>
  </w:style>
  <w:style w:type="paragraph" w:styleId="Sinespaciado">
    <w:name w:val="No Spacing"/>
    <w:uiPriority w:val="1"/>
    <w:rsid w:val="008735CE"/>
    <w:pPr>
      <w:spacing w:after="0" w:line="240" w:lineRule="auto"/>
      <w:jc w:val="both"/>
    </w:pPr>
    <w:rPr>
      <w:rFonts w:ascii="Times New Roman" w:hAnsi="Times New Roman"/>
      <w:sz w:val="24"/>
    </w:rPr>
  </w:style>
  <w:style w:type="character" w:customStyle="1" w:styleId="apple-converted-space">
    <w:name w:val="apple-converted-space"/>
    <w:basedOn w:val="Fuentedeprrafopredeter"/>
    <w:rsid w:val="0090435B"/>
  </w:style>
  <w:style w:type="table" w:styleId="Tablaconcuadrcula">
    <w:name w:val="Table Grid"/>
    <w:basedOn w:val="Tablanormal"/>
    <w:uiPriority w:val="59"/>
    <w:rsid w:val="009043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Fuentedeprrafopredeter"/>
    <w:rsid w:val="00FC46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D1C"/>
    <w:pPr>
      <w:spacing w:before="120" w:after="120" w:line="360" w:lineRule="auto"/>
      <w:ind w:firstLine="397"/>
      <w:jc w:val="both"/>
    </w:pPr>
    <w:rPr>
      <w:rFonts w:ascii="Arial" w:hAnsi="Arial"/>
      <w:sz w:val="24"/>
    </w:rPr>
  </w:style>
  <w:style w:type="paragraph" w:styleId="Ttulo1">
    <w:name w:val="heading 1"/>
    <w:basedOn w:val="Normal"/>
    <w:next w:val="Normal"/>
    <w:link w:val="Ttulo1Car"/>
    <w:uiPriority w:val="9"/>
    <w:qFormat/>
    <w:rsid w:val="003D57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013C27"/>
    <w:pPr>
      <w:keepNext/>
      <w:keepLines/>
      <w:spacing w:after="720" w:line="257" w:lineRule="auto"/>
      <w:jc w:val="center"/>
      <w:outlineLvl w:val="1"/>
    </w:pPr>
    <w:rPr>
      <w:rFonts w:eastAsiaTheme="majorEastAsia" w:cstheme="majorBidi"/>
      <w:b/>
      <w:sz w:val="36"/>
      <w:szCs w:val="26"/>
    </w:rPr>
  </w:style>
  <w:style w:type="paragraph" w:styleId="Ttulo3">
    <w:name w:val="heading 3"/>
    <w:basedOn w:val="Normal"/>
    <w:next w:val="Normal"/>
    <w:link w:val="Ttulo3Car"/>
    <w:uiPriority w:val="9"/>
    <w:unhideWhenUsed/>
    <w:qFormat/>
    <w:rsid w:val="00C74E41"/>
    <w:pPr>
      <w:keepNext/>
      <w:keepLines/>
      <w:spacing w:before="360" w:after="360" w:line="257" w:lineRule="auto"/>
      <w:ind w:firstLine="0"/>
      <w:outlineLvl w:val="2"/>
    </w:pPr>
    <w:rPr>
      <w:rFonts w:eastAsiaTheme="majorEastAsia" w:cstheme="majorBidi"/>
      <w:i/>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526D1"/>
    <w:pPr>
      <w:spacing w:after="200" w:line="276" w:lineRule="auto"/>
      <w:ind w:left="720"/>
      <w:contextualSpacing/>
    </w:pPr>
  </w:style>
  <w:style w:type="paragraph" w:styleId="NormalWeb">
    <w:name w:val="Normal (Web)"/>
    <w:basedOn w:val="Normal"/>
    <w:uiPriority w:val="99"/>
    <w:unhideWhenUsed/>
    <w:rsid w:val="00A526D1"/>
    <w:pPr>
      <w:spacing w:before="100" w:beforeAutospacing="1" w:after="100" w:afterAutospacing="1" w:line="240" w:lineRule="auto"/>
    </w:pPr>
    <w:rPr>
      <w:rFonts w:eastAsia="Times New Roman" w:cs="Times New Roman"/>
      <w:szCs w:val="24"/>
      <w:lang w:eastAsia="es-CO"/>
    </w:rPr>
  </w:style>
  <w:style w:type="paragraph" w:styleId="Encabezado">
    <w:name w:val="header"/>
    <w:basedOn w:val="Normal"/>
    <w:link w:val="EncabezadoCar"/>
    <w:uiPriority w:val="99"/>
    <w:unhideWhenUsed/>
    <w:rsid w:val="00A526D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526D1"/>
  </w:style>
  <w:style w:type="paragraph" w:styleId="Piedepgina">
    <w:name w:val="footer"/>
    <w:basedOn w:val="Normal"/>
    <w:link w:val="PiedepginaCar"/>
    <w:uiPriority w:val="99"/>
    <w:unhideWhenUsed/>
    <w:rsid w:val="00A526D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526D1"/>
  </w:style>
  <w:style w:type="paragraph" w:customStyle="1" w:styleId="Default">
    <w:name w:val="Default"/>
    <w:rsid w:val="00A526D1"/>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3D5798"/>
    <w:rPr>
      <w:color w:val="0563C1" w:themeColor="hyperlink"/>
      <w:u w:val="single"/>
    </w:rPr>
  </w:style>
  <w:style w:type="paragraph" w:styleId="TDC1">
    <w:name w:val="toc 1"/>
    <w:basedOn w:val="Normal"/>
    <w:next w:val="Normal"/>
    <w:autoRedefine/>
    <w:uiPriority w:val="39"/>
    <w:unhideWhenUsed/>
    <w:rsid w:val="003D5798"/>
    <w:pPr>
      <w:spacing w:after="100"/>
    </w:pPr>
  </w:style>
  <w:style w:type="paragraph" w:styleId="TDC2">
    <w:name w:val="toc 2"/>
    <w:basedOn w:val="Normal"/>
    <w:next w:val="Normal"/>
    <w:autoRedefine/>
    <w:uiPriority w:val="39"/>
    <w:unhideWhenUsed/>
    <w:rsid w:val="003D5798"/>
    <w:pPr>
      <w:spacing w:after="100"/>
      <w:ind w:left="240"/>
    </w:pPr>
  </w:style>
  <w:style w:type="character" w:customStyle="1" w:styleId="Ttulo1Car">
    <w:name w:val="Título 1 Car"/>
    <w:basedOn w:val="Fuentedeprrafopredeter"/>
    <w:link w:val="Ttulo1"/>
    <w:uiPriority w:val="9"/>
    <w:rsid w:val="003D5798"/>
    <w:rPr>
      <w:rFonts w:asciiTheme="majorHAnsi" w:eastAsiaTheme="majorEastAsia" w:hAnsiTheme="majorHAnsi" w:cstheme="majorBidi"/>
      <w:color w:val="2E74B5" w:themeColor="accent1" w:themeShade="BF"/>
      <w:sz w:val="32"/>
      <w:szCs w:val="32"/>
    </w:rPr>
  </w:style>
  <w:style w:type="paragraph" w:styleId="TtulodeTDC">
    <w:name w:val="TOC Heading"/>
    <w:basedOn w:val="Ttulo1"/>
    <w:next w:val="Normal"/>
    <w:uiPriority w:val="39"/>
    <w:unhideWhenUsed/>
    <w:qFormat/>
    <w:rsid w:val="003D5798"/>
    <w:pPr>
      <w:outlineLvl w:val="9"/>
    </w:pPr>
    <w:rPr>
      <w:lang w:eastAsia="es-CO"/>
    </w:rPr>
  </w:style>
  <w:style w:type="character" w:customStyle="1" w:styleId="Ttulo2Car">
    <w:name w:val="Título 2 Car"/>
    <w:basedOn w:val="Fuentedeprrafopredeter"/>
    <w:link w:val="Ttulo2"/>
    <w:uiPriority w:val="9"/>
    <w:rsid w:val="00013C27"/>
    <w:rPr>
      <w:rFonts w:ascii="Times New Roman" w:eastAsiaTheme="majorEastAsia" w:hAnsi="Times New Roman" w:cstheme="majorBidi"/>
      <w:b/>
      <w:sz w:val="36"/>
      <w:szCs w:val="26"/>
    </w:rPr>
  </w:style>
  <w:style w:type="paragraph" w:styleId="Textonotapie">
    <w:name w:val="footnote text"/>
    <w:basedOn w:val="Normal"/>
    <w:link w:val="TextonotapieCar"/>
    <w:uiPriority w:val="99"/>
    <w:semiHidden/>
    <w:unhideWhenUsed/>
    <w:rsid w:val="00230D7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30D7B"/>
    <w:rPr>
      <w:sz w:val="20"/>
      <w:szCs w:val="20"/>
    </w:rPr>
  </w:style>
  <w:style w:type="character" w:styleId="Refdenotaalpie">
    <w:name w:val="footnote reference"/>
    <w:basedOn w:val="Fuentedeprrafopredeter"/>
    <w:uiPriority w:val="99"/>
    <w:semiHidden/>
    <w:unhideWhenUsed/>
    <w:rsid w:val="00230D7B"/>
    <w:rPr>
      <w:vertAlign w:val="superscript"/>
    </w:rPr>
  </w:style>
  <w:style w:type="paragraph" w:styleId="Cita">
    <w:name w:val="Quote"/>
    <w:basedOn w:val="Normal"/>
    <w:next w:val="Normal"/>
    <w:link w:val="CitaCar"/>
    <w:uiPriority w:val="29"/>
    <w:qFormat/>
    <w:rsid w:val="00847E42"/>
    <w:pPr>
      <w:spacing w:before="200"/>
      <w:ind w:left="1134" w:right="1134" w:firstLine="0"/>
    </w:pPr>
    <w:rPr>
      <w:i/>
      <w:iCs/>
      <w:color w:val="404040" w:themeColor="text1" w:themeTint="BF"/>
    </w:rPr>
  </w:style>
  <w:style w:type="character" w:customStyle="1" w:styleId="CitaCar">
    <w:name w:val="Cita Car"/>
    <w:basedOn w:val="Fuentedeprrafopredeter"/>
    <w:link w:val="Cita"/>
    <w:uiPriority w:val="29"/>
    <w:rsid w:val="00847E42"/>
    <w:rPr>
      <w:rFonts w:ascii="Times New Roman" w:hAnsi="Times New Roman"/>
      <w:i/>
      <w:iCs/>
      <w:color w:val="404040" w:themeColor="text1" w:themeTint="BF"/>
      <w:sz w:val="24"/>
    </w:rPr>
  </w:style>
  <w:style w:type="character" w:styleId="nfasis">
    <w:name w:val="Emphasis"/>
    <w:basedOn w:val="Fuentedeprrafopredeter"/>
    <w:uiPriority w:val="20"/>
    <w:rsid w:val="00C36A88"/>
    <w:rPr>
      <w:i/>
      <w:iCs/>
    </w:rPr>
  </w:style>
  <w:style w:type="character" w:customStyle="1" w:styleId="Ttulo3Car">
    <w:name w:val="Título 3 Car"/>
    <w:basedOn w:val="Fuentedeprrafopredeter"/>
    <w:link w:val="Ttulo3"/>
    <w:uiPriority w:val="9"/>
    <w:rsid w:val="00C74E41"/>
    <w:rPr>
      <w:rFonts w:ascii="Times New Roman" w:eastAsiaTheme="majorEastAsia" w:hAnsi="Times New Roman" w:cstheme="majorBidi"/>
      <w:i/>
      <w:sz w:val="24"/>
      <w:szCs w:val="24"/>
    </w:rPr>
  </w:style>
  <w:style w:type="paragraph" w:styleId="Bibliografa">
    <w:name w:val="Bibliography"/>
    <w:basedOn w:val="Normal"/>
    <w:next w:val="Normal"/>
    <w:uiPriority w:val="37"/>
    <w:unhideWhenUsed/>
    <w:rsid w:val="00013C27"/>
  </w:style>
  <w:style w:type="paragraph" w:styleId="TDC3">
    <w:name w:val="toc 3"/>
    <w:basedOn w:val="Normal"/>
    <w:next w:val="Normal"/>
    <w:autoRedefine/>
    <w:uiPriority w:val="39"/>
    <w:unhideWhenUsed/>
    <w:rsid w:val="00214457"/>
    <w:pPr>
      <w:tabs>
        <w:tab w:val="right" w:leader="dot" w:pos="8828"/>
      </w:tabs>
      <w:spacing w:after="100"/>
      <w:ind w:left="440"/>
    </w:pPr>
    <w:rPr>
      <w:rFonts w:cstheme="majorBidi"/>
      <w:i/>
      <w:noProof/>
    </w:rPr>
  </w:style>
  <w:style w:type="paragraph" w:styleId="Textodeglobo">
    <w:name w:val="Balloon Text"/>
    <w:basedOn w:val="Normal"/>
    <w:link w:val="TextodegloboCar"/>
    <w:uiPriority w:val="99"/>
    <w:semiHidden/>
    <w:unhideWhenUsed/>
    <w:rsid w:val="000C3ADF"/>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C3ADF"/>
    <w:rPr>
      <w:rFonts w:ascii="Tahoma" w:hAnsi="Tahoma" w:cs="Tahoma"/>
      <w:sz w:val="16"/>
      <w:szCs w:val="16"/>
    </w:rPr>
  </w:style>
  <w:style w:type="paragraph" w:styleId="Sinespaciado">
    <w:name w:val="No Spacing"/>
    <w:uiPriority w:val="1"/>
    <w:rsid w:val="008735CE"/>
    <w:pPr>
      <w:spacing w:after="0" w:line="240" w:lineRule="auto"/>
      <w:jc w:val="both"/>
    </w:pPr>
    <w:rPr>
      <w:rFonts w:ascii="Times New Roman" w:hAnsi="Times New Roman"/>
      <w:sz w:val="24"/>
    </w:rPr>
  </w:style>
  <w:style w:type="character" w:customStyle="1" w:styleId="apple-converted-space">
    <w:name w:val="apple-converted-space"/>
    <w:basedOn w:val="Fuentedeprrafopredeter"/>
    <w:rsid w:val="0090435B"/>
  </w:style>
  <w:style w:type="table" w:styleId="Tablaconcuadrcula">
    <w:name w:val="Table Grid"/>
    <w:basedOn w:val="Tablanormal"/>
    <w:uiPriority w:val="59"/>
    <w:rsid w:val="009043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basedOn w:val="Fuentedeprrafopredeter"/>
    <w:rsid w:val="00FC46D9"/>
  </w:style>
</w:styles>
</file>

<file path=word/webSettings.xml><?xml version="1.0" encoding="utf-8"?>
<w:webSettings xmlns:r="http://schemas.openxmlformats.org/officeDocument/2006/relationships" xmlns:w="http://schemas.openxmlformats.org/wordprocessingml/2006/main">
  <w:divs>
    <w:div w:id="63576241">
      <w:bodyDiv w:val="1"/>
      <w:marLeft w:val="0"/>
      <w:marRight w:val="0"/>
      <w:marTop w:val="0"/>
      <w:marBottom w:val="0"/>
      <w:divBdr>
        <w:top w:val="none" w:sz="0" w:space="0" w:color="auto"/>
        <w:left w:val="none" w:sz="0" w:space="0" w:color="auto"/>
        <w:bottom w:val="none" w:sz="0" w:space="0" w:color="auto"/>
        <w:right w:val="none" w:sz="0" w:space="0" w:color="auto"/>
      </w:divBdr>
    </w:div>
    <w:div w:id="92557716">
      <w:bodyDiv w:val="1"/>
      <w:marLeft w:val="0"/>
      <w:marRight w:val="0"/>
      <w:marTop w:val="0"/>
      <w:marBottom w:val="0"/>
      <w:divBdr>
        <w:top w:val="none" w:sz="0" w:space="0" w:color="auto"/>
        <w:left w:val="none" w:sz="0" w:space="0" w:color="auto"/>
        <w:bottom w:val="none" w:sz="0" w:space="0" w:color="auto"/>
        <w:right w:val="none" w:sz="0" w:space="0" w:color="auto"/>
      </w:divBdr>
    </w:div>
    <w:div w:id="127475340">
      <w:bodyDiv w:val="1"/>
      <w:marLeft w:val="0"/>
      <w:marRight w:val="0"/>
      <w:marTop w:val="0"/>
      <w:marBottom w:val="0"/>
      <w:divBdr>
        <w:top w:val="none" w:sz="0" w:space="0" w:color="auto"/>
        <w:left w:val="none" w:sz="0" w:space="0" w:color="auto"/>
        <w:bottom w:val="none" w:sz="0" w:space="0" w:color="auto"/>
        <w:right w:val="none" w:sz="0" w:space="0" w:color="auto"/>
      </w:divBdr>
    </w:div>
    <w:div w:id="146825411">
      <w:bodyDiv w:val="1"/>
      <w:marLeft w:val="0"/>
      <w:marRight w:val="0"/>
      <w:marTop w:val="0"/>
      <w:marBottom w:val="0"/>
      <w:divBdr>
        <w:top w:val="none" w:sz="0" w:space="0" w:color="auto"/>
        <w:left w:val="none" w:sz="0" w:space="0" w:color="auto"/>
        <w:bottom w:val="none" w:sz="0" w:space="0" w:color="auto"/>
        <w:right w:val="none" w:sz="0" w:space="0" w:color="auto"/>
      </w:divBdr>
    </w:div>
    <w:div w:id="179782570">
      <w:bodyDiv w:val="1"/>
      <w:marLeft w:val="0"/>
      <w:marRight w:val="0"/>
      <w:marTop w:val="0"/>
      <w:marBottom w:val="0"/>
      <w:divBdr>
        <w:top w:val="none" w:sz="0" w:space="0" w:color="auto"/>
        <w:left w:val="none" w:sz="0" w:space="0" w:color="auto"/>
        <w:bottom w:val="none" w:sz="0" w:space="0" w:color="auto"/>
        <w:right w:val="none" w:sz="0" w:space="0" w:color="auto"/>
      </w:divBdr>
    </w:div>
    <w:div w:id="203569008">
      <w:bodyDiv w:val="1"/>
      <w:marLeft w:val="0"/>
      <w:marRight w:val="0"/>
      <w:marTop w:val="0"/>
      <w:marBottom w:val="0"/>
      <w:divBdr>
        <w:top w:val="none" w:sz="0" w:space="0" w:color="auto"/>
        <w:left w:val="none" w:sz="0" w:space="0" w:color="auto"/>
        <w:bottom w:val="none" w:sz="0" w:space="0" w:color="auto"/>
        <w:right w:val="none" w:sz="0" w:space="0" w:color="auto"/>
      </w:divBdr>
    </w:div>
    <w:div w:id="243270782">
      <w:bodyDiv w:val="1"/>
      <w:marLeft w:val="0"/>
      <w:marRight w:val="0"/>
      <w:marTop w:val="0"/>
      <w:marBottom w:val="0"/>
      <w:divBdr>
        <w:top w:val="none" w:sz="0" w:space="0" w:color="auto"/>
        <w:left w:val="none" w:sz="0" w:space="0" w:color="auto"/>
        <w:bottom w:val="none" w:sz="0" w:space="0" w:color="auto"/>
        <w:right w:val="none" w:sz="0" w:space="0" w:color="auto"/>
      </w:divBdr>
    </w:div>
    <w:div w:id="259800416">
      <w:bodyDiv w:val="1"/>
      <w:marLeft w:val="0"/>
      <w:marRight w:val="0"/>
      <w:marTop w:val="0"/>
      <w:marBottom w:val="0"/>
      <w:divBdr>
        <w:top w:val="none" w:sz="0" w:space="0" w:color="auto"/>
        <w:left w:val="none" w:sz="0" w:space="0" w:color="auto"/>
        <w:bottom w:val="none" w:sz="0" w:space="0" w:color="auto"/>
        <w:right w:val="none" w:sz="0" w:space="0" w:color="auto"/>
      </w:divBdr>
    </w:div>
    <w:div w:id="289357610">
      <w:bodyDiv w:val="1"/>
      <w:marLeft w:val="0"/>
      <w:marRight w:val="0"/>
      <w:marTop w:val="0"/>
      <w:marBottom w:val="0"/>
      <w:divBdr>
        <w:top w:val="none" w:sz="0" w:space="0" w:color="auto"/>
        <w:left w:val="none" w:sz="0" w:space="0" w:color="auto"/>
        <w:bottom w:val="none" w:sz="0" w:space="0" w:color="auto"/>
        <w:right w:val="none" w:sz="0" w:space="0" w:color="auto"/>
      </w:divBdr>
    </w:div>
    <w:div w:id="376667003">
      <w:bodyDiv w:val="1"/>
      <w:marLeft w:val="0"/>
      <w:marRight w:val="0"/>
      <w:marTop w:val="0"/>
      <w:marBottom w:val="0"/>
      <w:divBdr>
        <w:top w:val="none" w:sz="0" w:space="0" w:color="auto"/>
        <w:left w:val="none" w:sz="0" w:space="0" w:color="auto"/>
        <w:bottom w:val="none" w:sz="0" w:space="0" w:color="auto"/>
        <w:right w:val="none" w:sz="0" w:space="0" w:color="auto"/>
      </w:divBdr>
    </w:div>
    <w:div w:id="382025080">
      <w:bodyDiv w:val="1"/>
      <w:marLeft w:val="0"/>
      <w:marRight w:val="0"/>
      <w:marTop w:val="0"/>
      <w:marBottom w:val="0"/>
      <w:divBdr>
        <w:top w:val="none" w:sz="0" w:space="0" w:color="auto"/>
        <w:left w:val="none" w:sz="0" w:space="0" w:color="auto"/>
        <w:bottom w:val="none" w:sz="0" w:space="0" w:color="auto"/>
        <w:right w:val="none" w:sz="0" w:space="0" w:color="auto"/>
      </w:divBdr>
    </w:div>
    <w:div w:id="395979601">
      <w:bodyDiv w:val="1"/>
      <w:marLeft w:val="0"/>
      <w:marRight w:val="0"/>
      <w:marTop w:val="0"/>
      <w:marBottom w:val="0"/>
      <w:divBdr>
        <w:top w:val="none" w:sz="0" w:space="0" w:color="auto"/>
        <w:left w:val="none" w:sz="0" w:space="0" w:color="auto"/>
        <w:bottom w:val="none" w:sz="0" w:space="0" w:color="auto"/>
        <w:right w:val="none" w:sz="0" w:space="0" w:color="auto"/>
      </w:divBdr>
    </w:div>
    <w:div w:id="428433408">
      <w:bodyDiv w:val="1"/>
      <w:marLeft w:val="0"/>
      <w:marRight w:val="0"/>
      <w:marTop w:val="0"/>
      <w:marBottom w:val="0"/>
      <w:divBdr>
        <w:top w:val="none" w:sz="0" w:space="0" w:color="auto"/>
        <w:left w:val="none" w:sz="0" w:space="0" w:color="auto"/>
        <w:bottom w:val="none" w:sz="0" w:space="0" w:color="auto"/>
        <w:right w:val="none" w:sz="0" w:space="0" w:color="auto"/>
      </w:divBdr>
    </w:div>
    <w:div w:id="440958192">
      <w:bodyDiv w:val="1"/>
      <w:marLeft w:val="0"/>
      <w:marRight w:val="0"/>
      <w:marTop w:val="0"/>
      <w:marBottom w:val="0"/>
      <w:divBdr>
        <w:top w:val="none" w:sz="0" w:space="0" w:color="auto"/>
        <w:left w:val="none" w:sz="0" w:space="0" w:color="auto"/>
        <w:bottom w:val="none" w:sz="0" w:space="0" w:color="auto"/>
        <w:right w:val="none" w:sz="0" w:space="0" w:color="auto"/>
      </w:divBdr>
    </w:div>
    <w:div w:id="446705297">
      <w:bodyDiv w:val="1"/>
      <w:marLeft w:val="0"/>
      <w:marRight w:val="0"/>
      <w:marTop w:val="0"/>
      <w:marBottom w:val="0"/>
      <w:divBdr>
        <w:top w:val="none" w:sz="0" w:space="0" w:color="auto"/>
        <w:left w:val="none" w:sz="0" w:space="0" w:color="auto"/>
        <w:bottom w:val="none" w:sz="0" w:space="0" w:color="auto"/>
        <w:right w:val="none" w:sz="0" w:space="0" w:color="auto"/>
      </w:divBdr>
    </w:div>
    <w:div w:id="620306016">
      <w:bodyDiv w:val="1"/>
      <w:marLeft w:val="0"/>
      <w:marRight w:val="0"/>
      <w:marTop w:val="0"/>
      <w:marBottom w:val="0"/>
      <w:divBdr>
        <w:top w:val="none" w:sz="0" w:space="0" w:color="auto"/>
        <w:left w:val="none" w:sz="0" w:space="0" w:color="auto"/>
        <w:bottom w:val="none" w:sz="0" w:space="0" w:color="auto"/>
        <w:right w:val="none" w:sz="0" w:space="0" w:color="auto"/>
      </w:divBdr>
    </w:div>
    <w:div w:id="717238369">
      <w:bodyDiv w:val="1"/>
      <w:marLeft w:val="0"/>
      <w:marRight w:val="0"/>
      <w:marTop w:val="0"/>
      <w:marBottom w:val="0"/>
      <w:divBdr>
        <w:top w:val="none" w:sz="0" w:space="0" w:color="auto"/>
        <w:left w:val="none" w:sz="0" w:space="0" w:color="auto"/>
        <w:bottom w:val="none" w:sz="0" w:space="0" w:color="auto"/>
        <w:right w:val="none" w:sz="0" w:space="0" w:color="auto"/>
      </w:divBdr>
    </w:div>
    <w:div w:id="721178340">
      <w:bodyDiv w:val="1"/>
      <w:marLeft w:val="0"/>
      <w:marRight w:val="0"/>
      <w:marTop w:val="0"/>
      <w:marBottom w:val="0"/>
      <w:divBdr>
        <w:top w:val="none" w:sz="0" w:space="0" w:color="auto"/>
        <w:left w:val="none" w:sz="0" w:space="0" w:color="auto"/>
        <w:bottom w:val="none" w:sz="0" w:space="0" w:color="auto"/>
        <w:right w:val="none" w:sz="0" w:space="0" w:color="auto"/>
      </w:divBdr>
    </w:div>
    <w:div w:id="805129152">
      <w:bodyDiv w:val="1"/>
      <w:marLeft w:val="0"/>
      <w:marRight w:val="0"/>
      <w:marTop w:val="0"/>
      <w:marBottom w:val="0"/>
      <w:divBdr>
        <w:top w:val="none" w:sz="0" w:space="0" w:color="auto"/>
        <w:left w:val="none" w:sz="0" w:space="0" w:color="auto"/>
        <w:bottom w:val="none" w:sz="0" w:space="0" w:color="auto"/>
        <w:right w:val="none" w:sz="0" w:space="0" w:color="auto"/>
      </w:divBdr>
    </w:div>
    <w:div w:id="828442519">
      <w:bodyDiv w:val="1"/>
      <w:marLeft w:val="0"/>
      <w:marRight w:val="0"/>
      <w:marTop w:val="0"/>
      <w:marBottom w:val="0"/>
      <w:divBdr>
        <w:top w:val="none" w:sz="0" w:space="0" w:color="auto"/>
        <w:left w:val="none" w:sz="0" w:space="0" w:color="auto"/>
        <w:bottom w:val="none" w:sz="0" w:space="0" w:color="auto"/>
        <w:right w:val="none" w:sz="0" w:space="0" w:color="auto"/>
      </w:divBdr>
    </w:div>
    <w:div w:id="835417254">
      <w:bodyDiv w:val="1"/>
      <w:marLeft w:val="0"/>
      <w:marRight w:val="0"/>
      <w:marTop w:val="0"/>
      <w:marBottom w:val="0"/>
      <w:divBdr>
        <w:top w:val="none" w:sz="0" w:space="0" w:color="auto"/>
        <w:left w:val="none" w:sz="0" w:space="0" w:color="auto"/>
        <w:bottom w:val="none" w:sz="0" w:space="0" w:color="auto"/>
        <w:right w:val="none" w:sz="0" w:space="0" w:color="auto"/>
      </w:divBdr>
    </w:div>
    <w:div w:id="983002016">
      <w:bodyDiv w:val="1"/>
      <w:marLeft w:val="0"/>
      <w:marRight w:val="0"/>
      <w:marTop w:val="0"/>
      <w:marBottom w:val="0"/>
      <w:divBdr>
        <w:top w:val="none" w:sz="0" w:space="0" w:color="auto"/>
        <w:left w:val="none" w:sz="0" w:space="0" w:color="auto"/>
        <w:bottom w:val="none" w:sz="0" w:space="0" w:color="auto"/>
        <w:right w:val="none" w:sz="0" w:space="0" w:color="auto"/>
      </w:divBdr>
    </w:div>
    <w:div w:id="1024407859">
      <w:bodyDiv w:val="1"/>
      <w:marLeft w:val="0"/>
      <w:marRight w:val="0"/>
      <w:marTop w:val="0"/>
      <w:marBottom w:val="0"/>
      <w:divBdr>
        <w:top w:val="none" w:sz="0" w:space="0" w:color="auto"/>
        <w:left w:val="none" w:sz="0" w:space="0" w:color="auto"/>
        <w:bottom w:val="none" w:sz="0" w:space="0" w:color="auto"/>
        <w:right w:val="none" w:sz="0" w:space="0" w:color="auto"/>
      </w:divBdr>
    </w:div>
    <w:div w:id="1051075026">
      <w:bodyDiv w:val="1"/>
      <w:marLeft w:val="0"/>
      <w:marRight w:val="0"/>
      <w:marTop w:val="0"/>
      <w:marBottom w:val="0"/>
      <w:divBdr>
        <w:top w:val="none" w:sz="0" w:space="0" w:color="auto"/>
        <w:left w:val="none" w:sz="0" w:space="0" w:color="auto"/>
        <w:bottom w:val="none" w:sz="0" w:space="0" w:color="auto"/>
        <w:right w:val="none" w:sz="0" w:space="0" w:color="auto"/>
      </w:divBdr>
    </w:div>
    <w:div w:id="1059135494">
      <w:bodyDiv w:val="1"/>
      <w:marLeft w:val="0"/>
      <w:marRight w:val="0"/>
      <w:marTop w:val="0"/>
      <w:marBottom w:val="0"/>
      <w:divBdr>
        <w:top w:val="none" w:sz="0" w:space="0" w:color="auto"/>
        <w:left w:val="none" w:sz="0" w:space="0" w:color="auto"/>
        <w:bottom w:val="none" w:sz="0" w:space="0" w:color="auto"/>
        <w:right w:val="none" w:sz="0" w:space="0" w:color="auto"/>
      </w:divBdr>
    </w:div>
    <w:div w:id="1078745281">
      <w:bodyDiv w:val="1"/>
      <w:marLeft w:val="0"/>
      <w:marRight w:val="0"/>
      <w:marTop w:val="0"/>
      <w:marBottom w:val="0"/>
      <w:divBdr>
        <w:top w:val="none" w:sz="0" w:space="0" w:color="auto"/>
        <w:left w:val="none" w:sz="0" w:space="0" w:color="auto"/>
        <w:bottom w:val="none" w:sz="0" w:space="0" w:color="auto"/>
        <w:right w:val="none" w:sz="0" w:space="0" w:color="auto"/>
      </w:divBdr>
    </w:div>
    <w:div w:id="1140995077">
      <w:bodyDiv w:val="1"/>
      <w:marLeft w:val="0"/>
      <w:marRight w:val="0"/>
      <w:marTop w:val="0"/>
      <w:marBottom w:val="0"/>
      <w:divBdr>
        <w:top w:val="none" w:sz="0" w:space="0" w:color="auto"/>
        <w:left w:val="none" w:sz="0" w:space="0" w:color="auto"/>
        <w:bottom w:val="none" w:sz="0" w:space="0" w:color="auto"/>
        <w:right w:val="none" w:sz="0" w:space="0" w:color="auto"/>
      </w:divBdr>
    </w:div>
    <w:div w:id="1175455180">
      <w:bodyDiv w:val="1"/>
      <w:marLeft w:val="0"/>
      <w:marRight w:val="0"/>
      <w:marTop w:val="0"/>
      <w:marBottom w:val="0"/>
      <w:divBdr>
        <w:top w:val="none" w:sz="0" w:space="0" w:color="auto"/>
        <w:left w:val="none" w:sz="0" w:space="0" w:color="auto"/>
        <w:bottom w:val="none" w:sz="0" w:space="0" w:color="auto"/>
        <w:right w:val="none" w:sz="0" w:space="0" w:color="auto"/>
      </w:divBdr>
    </w:div>
    <w:div w:id="1180778972">
      <w:bodyDiv w:val="1"/>
      <w:marLeft w:val="0"/>
      <w:marRight w:val="0"/>
      <w:marTop w:val="0"/>
      <w:marBottom w:val="0"/>
      <w:divBdr>
        <w:top w:val="none" w:sz="0" w:space="0" w:color="auto"/>
        <w:left w:val="none" w:sz="0" w:space="0" w:color="auto"/>
        <w:bottom w:val="none" w:sz="0" w:space="0" w:color="auto"/>
        <w:right w:val="none" w:sz="0" w:space="0" w:color="auto"/>
      </w:divBdr>
    </w:div>
    <w:div w:id="1207839426">
      <w:bodyDiv w:val="1"/>
      <w:marLeft w:val="0"/>
      <w:marRight w:val="0"/>
      <w:marTop w:val="0"/>
      <w:marBottom w:val="0"/>
      <w:divBdr>
        <w:top w:val="none" w:sz="0" w:space="0" w:color="auto"/>
        <w:left w:val="none" w:sz="0" w:space="0" w:color="auto"/>
        <w:bottom w:val="none" w:sz="0" w:space="0" w:color="auto"/>
        <w:right w:val="none" w:sz="0" w:space="0" w:color="auto"/>
      </w:divBdr>
    </w:div>
    <w:div w:id="1252662812">
      <w:bodyDiv w:val="1"/>
      <w:marLeft w:val="0"/>
      <w:marRight w:val="0"/>
      <w:marTop w:val="0"/>
      <w:marBottom w:val="0"/>
      <w:divBdr>
        <w:top w:val="none" w:sz="0" w:space="0" w:color="auto"/>
        <w:left w:val="none" w:sz="0" w:space="0" w:color="auto"/>
        <w:bottom w:val="none" w:sz="0" w:space="0" w:color="auto"/>
        <w:right w:val="none" w:sz="0" w:space="0" w:color="auto"/>
      </w:divBdr>
    </w:div>
    <w:div w:id="1345283681">
      <w:bodyDiv w:val="1"/>
      <w:marLeft w:val="0"/>
      <w:marRight w:val="0"/>
      <w:marTop w:val="0"/>
      <w:marBottom w:val="0"/>
      <w:divBdr>
        <w:top w:val="none" w:sz="0" w:space="0" w:color="auto"/>
        <w:left w:val="none" w:sz="0" w:space="0" w:color="auto"/>
        <w:bottom w:val="none" w:sz="0" w:space="0" w:color="auto"/>
        <w:right w:val="none" w:sz="0" w:space="0" w:color="auto"/>
      </w:divBdr>
    </w:div>
    <w:div w:id="1401709374">
      <w:bodyDiv w:val="1"/>
      <w:marLeft w:val="0"/>
      <w:marRight w:val="0"/>
      <w:marTop w:val="0"/>
      <w:marBottom w:val="0"/>
      <w:divBdr>
        <w:top w:val="none" w:sz="0" w:space="0" w:color="auto"/>
        <w:left w:val="none" w:sz="0" w:space="0" w:color="auto"/>
        <w:bottom w:val="none" w:sz="0" w:space="0" w:color="auto"/>
        <w:right w:val="none" w:sz="0" w:space="0" w:color="auto"/>
      </w:divBdr>
    </w:div>
    <w:div w:id="1463422678">
      <w:bodyDiv w:val="1"/>
      <w:marLeft w:val="0"/>
      <w:marRight w:val="0"/>
      <w:marTop w:val="0"/>
      <w:marBottom w:val="0"/>
      <w:divBdr>
        <w:top w:val="none" w:sz="0" w:space="0" w:color="auto"/>
        <w:left w:val="none" w:sz="0" w:space="0" w:color="auto"/>
        <w:bottom w:val="none" w:sz="0" w:space="0" w:color="auto"/>
        <w:right w:val="none" w:sz="0" w:space="0" w:color="auto"/>
      </w:divBdr>
    </w:div>
    <w:div w:id="1554541093">
      <w:bodyDiv w:val="1"/>
      <w:marLeft w:val="0"/>
      <w:marRight w:val="0"/>
      <w:marTop w:val="0"/>
      <w:marBottom w:val="0"/>
      <w:divBdr>
        <w:top w:val="none" w:sz="0" w:space="0" w:color="auto"/>
        <w:left w:val="none" w:sz="0" w:space="0" w:color="auto"/>
        <w:bottom w:val="none" w:sz="0" w:space="0" w:color="auto"/>
        <w:right w:val="none" w:sz="0" w:space="0" w:color="auto"/>
      </w:divBdr>
    </w:div>
    <w:div w:id="1568416275">
      <w:bodyDiv w:val="1"/>
      <w:marLeft w:val="0"/>
      <w:marRight w:val="0"/>
      <w:marTop w:val="0"/>
      <w:marBottom w:val="0"/>
      <w:divBdr>
        <w:top w:val="none" w:sz="0" w:space="0" w:color="auto"/>
        <w:left w:val="none" w:sz="0" w:space="0" w:color="auto"/>
        <w:bottom w:val="none" w:sz="0" w:space="0" w:color="auto"/>
        <w:right w:val="none" w:sz="0" w:space="0" w:color="auto"/>
      </w:divBdr>
    </w:div>
    <w:div w:id="1737166081">
      <w:bodyDiv w:val="1"/>
      <w:marLeft w:val="0"/>
      <w:marRight w:val="0"/>
      <w:marTop w:val="0"/>
      <w:marBottom w:val="0"/>
      <w:divBdr>
        <w:top w:val="none" w:sz="0" w:space="0" w:color="auto"/>
        <w:left w:val="none" w:sz="0" w:space="0" w:color="auto"/>
        <w:bottom w:val="none" w:sz="0" w:space="0" w:color="auto"/>
        <w:right w:val="none" w:sz="0" w:space="0" w:color="auto"/>
      </w:divBdr>
    </w:div>
    <w:div w:id="1759476287">
      <w:bodyDiv w:val="1"/>
      <w:marLeft w:val="0"/>
      <w:marRight w:val="0"/>
      <w:marTop w:val="0"/>
      <w:marBottom w:val="0"/>
      <w:divBdr>
        <w:top w:val="none" w:sz="0" w:space="0" w:color="auto"/>
        <w:left w:val="none" w:sz="0" w:space="0" w:color="auto"/>
        <w:bottom w:val="none" w:sz="0" w:space="0" w:color="auto"/>
        <w:right w:val="none" w:sz="0" w:space="0" w:color="auto"/>
      </w:divBdr>
    </w:div>
    <w:div w:id="1843620294">
      <w:bodyDiv w:val="1"/>
      <w:marLeft w:val="0"/>
      <w:marRight w:val="0"/>
      <w:marTop w:val="0"/>
      <w:marBottom w:val="0"/>
      <w:divBdr>
        <w:top w:val="none" w:sz="0" w:space="0" w:color="auto"/>
        <w:left w:val="none" w:sz="0" w:space="0" w:color="auto"/>
        <w:bottom w:val="none" w:sz="0" w:space="0" w:color="auto"/>
        <w:right w:val="none" w:sz="0" w:space="0" w:color="auto"/>
      </w:divBdr>
    </w:div>
    <w:div w:id="1874536526">
      <w:bodyDiv w:val="1"/>
      <w:marLeft w:val="0"/>
      <w:marRight w:val="0"/>
      <w:marTop w:val="0"/>
      <w:marBottom w:val="0"/>
      <w:divBdr>
        <w:top w:val="none" w:sz="0" w:space="0" w:color="auto"/>
        <w:left w:val="none" w:sz="0" w:space="0" w:color="auto"/>
        <w:bottom w:val="none" w:sz="0" w:space="0" w:color="auto"/>
        <w:right w:val="none" w:sz="0" w:space="0" w:color="auto"/>
      </w:divBdr>
    </w:div>
    <w:div w:id="1875386167">
      <w:bodyDiv w:val="1"/>
      <w:marLeft w:val="0"/>
      <w:marRight w:val="0"/>
      <w:marTop w:val="0"/>
      <w:marBottom w:val="0"/>
      <w:divBdr>
        <w:top w:val="none" w:sz="0" w:space="0" w:color="auto"/>
        <w:left w:val="none" w:sz="0" w:space="0" w:color="auto"/>
        <w:bottom w:val="none" w:sz="0" w:space="0" w:color="auto"/>
        <w:right w:val="none" w:sz="0" w:space="0" w:color="auto"/>
      </w:divBdr>
    </w:div>
    <w:div w:id="1876189328">
      <w:bodyDiv w:val="1"/>
      <w:marLeft w:val="0"/>
      <w:marRight w:val="0"/>
      <w:marTop w:val="0"/>
      <w:marBottom w:val="0"/>
      <w:divBdr>
        <w:top w:val="none" w:sz="0" w:space="0" w:color="auto"/>
        <w:left w:val="none" w:sz="0" w:space="0" w:color="auto"/>
        <w:bottom w:val="none" w:sz="0" w:space="0" w:color="auto"/>
        <w:right w:val="none" w:sz="0" w:space="0" w:color="auto"/>
      </w:divBdr>
    </w:div>
    <w:div w:id="1901400343">
      <w:bodyDiv w:val="1"/>
      <w:marLeft w:val="0"/>
      <w:marRight w:val="0"/>
      <w:marTop w:val="0"/>
      <w:marBottom w:val="0"/>
      <w:divBdr>
        <w:top w:val="none" w:sz="0" w:space="0" w:color="auto"/>
        <w:left w:val="none" w:sz="0" w:space="0" w:color="auto"/>
        <w:bottom w:val="none" w:sz="0" w:space="0" w:color="auto"/>
        <w:right w:val="none" w:sz="0" w:space="0" w:color="auto"/>
      </w:divBdr>
    </w:div>
    <w:div w:id="1906724462">
      <w:bodyDiv w:val="1"/>
      <w:marLeft w:val="0"/>
      <w:marRight w:val="0"/>
      <w:marTop w:val="0"/>
      <w:marBottom w:val="0"/>
      <w:divBdr>
        <w:top w:val="none" w:sz="0" w:space="0" w:color="auto"/>
        <w:left w:val="none" w:sz="0" w:space="0" w:color="auto"/>
        <w:bottom w:val="none" w:sz="0" w:space="0" w:color="auto"/>
        <w:right w:val="none" w:sz="0" w:space="0" w:color="auto"/>
      </w:divBdr>
    </w:div>
    <w:div w:id="1921910569">
      <w:bodyDiv w:val="1"/>
      <w:marLeft w:val="0"/>
      <w:marRight w:val="0"/>
      <w:marTop w:val="0"/>
      <w:marBottom w:val="0"/>
      <w:divBdr>
        <w:top w:val="none" w:sz="0" w:space="0" w:color="auto"/>
        <w:left w:val="none" w:sz="0" w:space="0" w:color="auto"/>
        <w:bottom w:val="none" w:sz="0" w:space="0" w:color="auto"/>
        <w:right w:val="none" w:sz="0" w:space="0" w:color="auto"/>
      </w:divBdr>
    </w:div>
    <w:div w:id="1973436321">
      <w:bodyDiv w:val="1"/>
      <w:marLeft w:val="0"/>
      <w:marRight w:val="0"/>
      <w:marTop w:val="0"/>
      <w:marBottom w:val="0"/>
      <w:divBdr>
        <w:top w:val="none" w:sz="0" w:space="0" w:color="auto"/>
        <w:left w:val="none" w:sz="0" w:space="0" w:color="auto"/>
        <w:bottom w:val="none" w:sz="0" w:space="0" w:color="auto"/>
        <w:right w:val="none" w:sz="0" w:space="0" w:color="auto"/>
      </w:divBdr>
    </w:div>
    <w:div w:id="2011058143">
      <w:bodyDiv w:val="1"/>
      <w:marLeft w:val="0"/>
      <w:marRight w:val="0"/>
      <w:marTop w:val="0"/>
      <w:marBottom w:val="0"/>
      <w:divBdr>
        <w:top w:val="none" w:sz="0" w:space="0" w:color="auto"/>
        <w:left w:val="none" w:sz="0" w:space="0" w:color="auto"/>
        <w:bottom w:val="none" w:sz="0" w:space="0" w:color="auto"/>
        <w:right w:val="none" w:sz="0" w:space="0" w:color="auto"/>
      </w:divBdr>
    </w:div>
    <w:div w:id="2029406734">
      <w:bodyDiv w:val="1"/>
      <w:marLeft w:val="0"/>
      <w:marRight w:val="0"/>
      <w:marTop w:val="0"/>
      <w:marBottom w:val="0"/>
      <w:divBdr>
        <w:top w:val="none" w:sz="0" w:space="0" w:color="auto"/>
        <w:left w:val="none" w:sz="0" w:space="0" w:color="auto"/>
        <w:bottom w:val="none" w:sz="0" w:space="0" w:color="auto"/>
        <w:right w:val="none" w:sz="0" w:space="0" w:color="auto"/>
      </w:divBdr>
    </w:div>
    <w:div w:id="2046249211">
      <w:bodyDiv w:val="1"/>
      <w:marLeft w:val="0"/>
      <w:marRight w:val="0"/>
      <w:marTop w:val="0"/>
      <w:marBottom w:val="0"/>
      <w:divBdr>
        <w:top w:val="none" w:sz="0" w:space="0" w:color="auto"/>
        <w:left w:val="none" w:sz="0" w:space="0" w:color="auto"/>
        <w:bottom w:val="none" w:sz="0" w:space="0" w:color="auto"/>
        <w:right w:val="none" w:sz="0" w:space="0" w:color="auto"/>
      </w:divBdr>
    </w:div>
    <w:div w:id="2089384297">
      <w:bodyDiv w:val="1"/>
      <w:marLeft w:val="0"/>
      <w:marRight w:val="0"/>
      <w:marTop w:val="0"/>
      <w:marBottom w:val="0"/>
      <w:divBdr>
        <w:top w:val="none" w:sz="0" w:space="0" w:color="auto"/>
        <w:left w:val="none" w:sz="0" w:space="0" w:color="auto"/>
        <w:bottom w:val="none" w:sz="0" w:space="0" w:color="auto"/>
        <w:right w:val="none" w:sz="0" w:space="0" w:color="auto"/>
      </w:divBdr>
    </w:div>
    <w:div w:id="2106799977">
      <w:bodyDiv w:val="1"/>
      <w:marLeft w:val="0"/>
      <w:marRight w:val="0"/>
      <w:marTop w:val="0"/>
      <w:marBottom w:val="0"/>
      <w:divBdr>
        <w:top w:val="none" w:sz="0" w:space="0" w:color="auto"/>
        <w:left w:val="none" w:sz="0" w:space="0" w:color="auto"/>
        <w:bottom w:val="none" w:sz="0" w:space="0" w:color="auto"/>
        <w:right w:val="none" w:sz="0" w:space="0" w:color="auto"/>
      </w:divBdr>
    </w:div>
    <w:div w:id="213255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Mic07</b:Tag>
    <b:SourceType>Book</b:SourceType>
    <b:Guid>{2C839B4E-2722-426E-A5F8-65D5F61EFEEE}</b:Guid>
    <b:Author>
      <b:Author>
        <b:NameList>
          <b:Person>
            <b:Last>Foucault</b:Last>
            <b:First>Michel</b:First>
          </b:Person>
        </b:NameList>
      </b:Author>
    </b:Author>
    <b:Title>Nacimiento de la Biopolítica- Curso de Collége de Francé (1978-1979)</b:Title>
    <b:Year>2007</b:Year>
    <b:City>Buenos Aires, Argentina</b:City>
    <b:Publisher>Fondo de Cultura Económica de Argentina</b:Publisher>
    <b:RefOrder>1</b:RefOrder>
  </b:Source>
  <b:Source>
    <b:Tag>Mic79</b:Tag>
    <b:SourceType>Book</b:SourceType>
    <b:Guid>{08E5D21E-8C87-4732-B8A0-D813A7FBFCFC}</b:Guid>
    <b:Author>
      <b:Author>
        <b:NameList>
          <b:Person>
            <b:Last>Foucault</b:Last>
            <b:First>Michel</b:First>
          </b:Person>
        </b:NameList>
      </b:Author>
    </b:Author>
    <b:Title>microfisica del poder</b:Title>
    <b:Year>1979</b:Year>
    <b:City>Madrid</b:City>
    <b:Publisher>La piquera</b:Publisher>
    <b:RefOrder>3</b:RefOrder>
  </b:Source>
  <b:Source>
    <b:Tag>Mic06</b:Tag>
    <b:SourceType>Book</b:SourceType>
    <b:Guid>{A1087A81-8737-43BE-84CE-6D77E5686710}</b:Guid>
    <b:Author>
      <b:Author>
        <b:NameList>
          <b:Person>
            <b:Last>Foucault</b:Last>
            <b:First>Michel</b:First>
          </b:Person>
        </b:NameList>
      </b:Author>
    </b:Author>
    <b:Title>Seguridad, territorio y poblaciòn</b:Title>
    <b:Year>2006</b:Year>
    <b:City>Buenos aires, Argentina</b:City>
    <b:Publisher>Fondo de cultura economica de Argentina</b:Publisher>
    <b:RefOrder>2</b:RefOrder>
  </b:Source>
  <b:Source>
    <b:Tag>Mor13</b:Tag>
    <b:SourceType>JournalArticle</b:SourceType>
    <b:Guid>{2CD4EAFF-4939-4A0B-87F3-61F6D1EFF16B}</b:Guid>
    <b:Author>
      <b:Author>
        <b:NameList>
          <b:Person>
            <b:Last>Moreno</b:Last>
            <b:First>Kenneth</b:First>
          </b:Person>
        </b:NameList>
      </b:Author>
    </b:Author>
    <b:Title>la biopolitica de Foucault y la filosofia contemporanea</b:Title>
    <b:Year>2013</b:Year>
    <b:Pages>103</b:Pages>
    <b:RefOrder>7</b:RefOrder>
  </b:Source>
  <b:Source>
    <b:Tag>Fou00</b:Tag>
    <b:SourceType>Book</b:SourceType>
    <b:Guid>{15E38674-5696-4541-9225-7EB29FA0591F}</b:Guid>
    <b:Author>
      <b:Author>
        <b:NameList>
          <b:Person>
            <b:Last>Foucault</b:Last>
            <b:First>Michel</b:First>
          </b:Person>
        </b:NameList>
      </b:Author>
    </b:Author>
    <b:Title>Vigilar y castigar</b:Title>
    <b:Year>2000</b:Year>
    <b:City>Buenos Aires</b:City>
    <b:Publisher>Siglo XXI</b:Publisher>
    <b:RefOrder>5</b:RefOrder>
  </b:Source>
  <b:Source>
    <b:Tag>Mic00</b:Tag>
    <b:SourceType>Book</b:SourceType>
    <b:Guid>{521F6345-3CD9-4391-9C22-0CE8A907D943}</b:Guid>
    <b:Author>
      <b:Author>
        <b:NameList>
          <b:Person>
            <b:Last>Foucault</b:Last>
            <b:First>Michel</b:First>
          </b:Person>
        </b:NameList>
      </b:Author>
    </b:Author>
    <b:Title>Defender la sociedad- Curso del collége de Francé (1975-1976)</b:Title>
    <b:Year>2000</b:Year>
    <b:City>Buenos Aires, Argentina</b:City>
    <b:Publisher>Fondo de Cultura Económica de Argentina</b:Publisher>
    <b:RefOrder>4</b:RefOrder>
  </b:Source>
  <b:Source>
    <b:Tag>MDo12</b:Tag>
    <b:SourceType>Book</b:SourceType>
    <b:Guid>{888EF35E-BCAC-47F7-BA45-B155B2DDF430}</b:Guid>
    <b:Author>
      <b:Author>
        <b:NameList>
          <b:Person>
            <b:Last>Dominguez</b:Last>
            <b:First>M</b:First>
          </b:Person>
        </b:NameList>
      </b:Author>
    </b:Author>
    <b:Title>Foucault, el liberalismo y la critica a la filosofia politica</b:Title>
    <b:Year>2012</b:Year>
    <b:City>Madrid, España</b:City>
    <b:Publisher>Universidad Complutense de Madrid</b:Publisher>
    <b:RefOrder>8</b:RefOrder>
  </b:Source>
  <b:Source>
    <b:Tag>PLo10</b:Tag>
    <b:SourceType>Book</b:SourceType>
    <b:Guid>{EFAC3FA0-3760-412B-84E9-03187ADA56F2}</b:Guid>
    <b:Author>
      <b:Author>
        <b:NameList>
          <b:Person>
            <b:Last>Lopez</b:Last>
            <b:First>P</b:First>
          </b:Person>
        </b:NameList>
      </b:Author>
    </b:Author>
    <b:Title>Biopolitca, liberalismo y neoliberalismo, acción y gestion politica en el ultimo Foucault</b:Title>
    <b:Year>2010</b:Year>
    <b:City>Madrid, España</b:City>
    <b:Publisher>Universidad Complutense de Madrid</b:Publisher>
    <b:RefOrder>15</b:RefOrder>
  </b:Source>
  <b:Source>
    <b:Tag>Fou96</b:Tag>
    <b:SourceType>Book</b:SourceType>
    <b:Guid>{838E67FB-5E50-495D-AF4D-8DAA5EC700C9}</b:Guid>
    <b:Author>
      <b:Author>
        <b:NameList>
          <b:Person>
            <b:Last>Foucault</b:Last>
            <b:First>Michel</b:First>
          </b:Person>
        </b:NameList>
      </b:Author>
    </b:Author>
    <b:Title>La verdad y las formas juridicas</b:Title>
    <b:Year>1996</b:Year>
    <b:City>Barcelona, España</b:City>
    <b:Publisher>Gedisa</b:Publisher>
    <b:RefOrder>9</b:RefOrder>
  </b:Source>
  <b:Source>
    <b:Tag>REs09</b:Tag>
    <b:SourceType>Book</b:SourceType>
    <b:Guid>{1E772509-BE02-4D57-A764-515CB5C79F84}</b:Guid>
    <b:Author>
      <b:Author>
        <b:NameList>
          <b:Person>
            <b:Last>Esposito</b:Last>
            <b:First>R</b:First>
          </b:Person>
        </b:NameList>
      </b:Author>
    </b:Author>
    <b:Title>Comunidad, inmunidad y biopolitica</b:Title>
    <b:Year>2009</b:Year>
    <b:City>España</b:City>
    <b:Publisher>Herder</b:Publisher>
    <b:RefOrder>16</b:RefOrder>
  </b:Source>
  <b:Source>
    <b:Tag>GRo85</b:Tag>
    <b:SourceType>Book</b:SourceType>
    <b:Guid>{08A0FB0E-11C5-46DD-A65D-5E6E9F51105A}</b:Guid>
    <b:Author>
      <b:Author>
        <b:NameList>
          <b:Person>
            <b:Last>Rosen</b:Last>
            <b:First>G</b:First>
          </b:Person>
        </b:NameList>
      </b:Author>
    </b:Author>
    <b:Title>De la policia a la medicina social</b:Title>
    <b:Year>1985</b:Year>
    <b:City>España</b:City>
    <b:Publisher>Siglo XXI</b:Publisher>
    <b:RefOrder>17</b:RefOrder>
  </b:Source>
  <b:Source>
    <b:Tag>Mic09</b:Tag>
    <b:SourceType>Book</b:SourceType>
    <b:Guid>{1BBB9B6E-2FBB-49DE-8DF1-F41E13F02D08}</b:Guid>
    <b:Author>
      <b:Author>
        <b:NameList>
          <b:Person>
            <b:Last>Foucault</b:Last>
            <b:First>Michel</b:First>
          </b:Person>
        </b:NameList>
      </b:Author>
    </b:Author>
    <b:Title>La crisis de la medicina o la crisis de la antimedicina</b:Title>
    <b:Year>2009</b:Year>
    <b:Publisher>Altamira</b:Publisher>
    <b:RefOrder>14</b:RefOrder>
  </b:Source>
  <b:Source>
    <b:Tag>Mic074</b:Tag>
    <b:SourceType>Book</b:SourceType>
    <b:Guid>{0993EADF-38A9-4782-9335-A0FDB32801C9}</b:Guid>
    <b:Author>
      <b:Author>
        <b:NameList>
          <b:Person>
            <b:Last>Foucaul</b:Last>
            <b:First>Michell</b:First>
          </b:Person>
        </b:NameList>
      </b:Author>
    </b:Author>
    <b:Title>El poder Psiquiátrico</b:Title>
    <b:Year>2007</b:Year>
    <b:City>México</b:City>
    <b:Publisher>Fondo de Cultura Económico</b:Publisher>
    <b:RefOrder>10</b:RefOrder>
  </b:Source>
  <b:Source>
    <b:Tag>Mic077</b:Tag>
    <b:SourceType>Book</b:SourceType>
    <b:Guid>{6599DA55-578F-4850-9EE6-8686716A6417}</b:Guid>
    <b:Author>
      <b:Author>
        <b:NameList>
          <b:Person>
            <b:Last>Foucault</b:Last>
            <b:First>Michell</b:First>
          </b:Person>
        </b:NameList>
      </b:Author>
    </b:Author>
    <b:Title>Historia de la Locura en la época clásica</b:Title>
    <b:Year>2007</b:Year>
    <b:City>México</b:City>
    <b:Publisher>FCE</b:Publisher>
    <b:RefOrder>12</b:RefOrder>
  </b:Source>
  <b:Source>
    <b:Tag>Mic003</b:Tag>
    <b:SourceType>Book</b:SourceType>
    <b:Guid>{833E092A-48E8-49CB-865B-DB5F6D58ED32}</b:Guid>
    <b:Author>
      <b:Author>
        <b:NameList>
          <b:Person>
            <b:Last>Foucault</b:Last>
            <b:First>Michell</b:First>
          </b:Person>
        </b:NameList>
      </b:Author>
    </b:Author>
    <b:Title>Historia de la sexualidad II</b:Title>
    <b:Year>2000</b:Year>
    <b:City>Barcelona</b:City>
    <b:Publisher>Siglo XXI</b:Publisher>
    <b:RefOrder>13</b:RefOrder>
  </b:Source>
  <b:Source>
    <b:Tag>Mic004</b:Tag>
    <b:SourceType>Book</b:SourceType>
    <b:Guid>{D4F17009-5A78-4D1C-B5B6-0BDBBB531B11}</b:Guid>
    <b:Author>
      <b:Author>
        <b:NameList>
          <b:Person>
            <b:Last>Foucault</b:Last>
            <b:First>Michell</b:First>
          </b:Person>
        </b:NameList>
      </b:Author>
    </b:Author>
    <b:Title>Los anormales</b:Title>
    <b:Year>2000</b:Year>
    <b:City>Buenos Aires</b:City>
    <b:Publisher>FCE</b:Publisher>
    <b:RefOrder>11</b:RefOrder>
  </b:Source>
  <b:Source>
    <b:Tag>Mic01</b:Tag>
    <b:SourceType>Book</b:SourceType>
    <b:Guid>{944C32D5-8161-4581-AEC4-AD1727A35CA1}</b:Guid>
    <b:Author>
      <b:Author>
        <b:NameList>
          <b:Person>
            <b:Last>Foucault</b:Last>
            <b:First>Michel</b:First>
          </b:Person>
        </b:NameList>
      </b:Author>
    </b:Author>
    <b:Title>Historia de la sexualidad I</b:Title>
    <b:Year>2001</b:Year>
    <b:City>Mexico</b:City>
    <b:Publisher>Siglo XXI</b:Publisher>
    <b:RefOrder>6</b:RefOrder>
  </b:Source>
</b:Sources>
</file>

<file path=customXml/itemProps1.xml><?xml version="1.0" encoding="utf-8"?>
<ds:datastoreItem xmlns:ds="http://schemas.openxmlformats.org/officeDocument/2006/customXml" ds:itemID="{CD854E19-9029-4F86-84FE-A3BD9B0BD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Pages>
  <Words>11160</Words>
  <Characters>61386</Characters>
  <Application>Microsoft Office Word</Application>
  <DocSecurity>0</DocSecurity>
  <Lines>511</Lines>
  <Paragraphs>144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Yosselyn Herrera Lòpez</dc:creator>
  <cp:lastModifiedBy>elvy</cp:lastModifiedBy>
  <cp:revision>7</cp:revision>
  <cp:lastPrinted>2019-09-23T14:29:00Z</cp:lastPrinted>
  <dcterms:created xsi:type="dcterms:W3CDTF">2019-07-02T02:01:00Z</dcterms:created>
  <dcterms:modified xsi:type="dcterms:W3CDTF">2019-09-23T14:32:00Z</dcterms:modified>
</cp:coreProperties>
</file>