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663CDF" w:rsidRDefault="00663CDF">
      <w:pPr>
        <w:pStyle w:val="Normal0"/>
        <w:spacing w:line="360" w:lineRule="auto"/>
      </w:pPr>
      <w:bookmarkStart w:id="0" w:name="_GoBack"/>
      <w:bookmarkEnd w:id="0"/>
    </w:p>
    <w:p w14:paraId="00000002" w14:textId="77777777" w:rsidR="00663CDF" w:rsidRDefault="00663CDF">
      <w:pPr>
        <w:pStyle w:val="Normal0"/>
        <w:spacing w:line="360" w:lineRule="auto"/>
      </w:pPr>
    </w:p>
    <w:p w14:paraId="00000003" w14:textId="77777777" w:rsidR="00663CDF" w:rsidRDefault="00F71B39">
      <w:pPr>
        <w:pStyle w:val="Normal0"/>
        <w:spacing w:line="360" w:lineRule="auto"/>
        <w:jc w:val="center"/>
      </w:pPr>
      <w:r>
        <w:rPr>
          <w:b/>
        </w:rPr>
        <w:t>INCIDENCIA DE LA CATEGORIZACIÓN EN LA GESTIÓN PÚBLICA Y DESARROLLO SOCIAL EN EL MUNICIPIO TURBACO</w:t>
      </w:r>
      <w:r>
        <w:t xml:space="preserve"> </w:t>
      </w:r>
      <w:r>
        <w:rPr>
          <w:b/>
        </w:rPr>
        <w:t>2016-2023</w:t>
      </w:r>
      <w:r>
        <w:br w:type="page"/>
      </w:r>
    </w:p>
    <w:p w14:paraId="00000004" w14:textId="77777777" w:rsidR="00663CDF" w:rsidRDefault="00F71B39">
      <w:pPr>
        <w:pStyle w:val="Normal0"/>
        <w:spacing w:line="360" w:lineRule="auto"/>
        <w:jc w:val="center"/>
        <w:rPr>
          <w:b/>
        </w:rPr>
      </w:pPr>
      <w:bookmarkStart w:id="1" w:name="_heading=h.gjdgxs" w:colFirst="0" w:colLast="0"/>
      <w:bookmarkEnd w:id="1"/>
      <w:r>
        <w:rPr>
          <w:b/>
        </w:rPr>
        <w:lastRenderedPageBreak/>
        <w:t>INCIDENCIA DE LA CATEGORIZACIÓN EN LA GESTIÓN PÚBLICA Y DESARROLLO SOCIAL EN EL MUNICIPIO DE TURBACO 2016-2023</w:t>
      </w:r>
    </w:p>
    <w:p w14:paraId="00000005" w14:textId="77777777" w:rsidR="00663CDF" w:rsidRDefault="00663CDF">
      <w:pPr>
        <w:pStyle w:val="Normal0"/>
        <w:spacing w:line="360" w:lineRule="auto"/>
        <w:jc w:val="center"/>
        <w:rPr>
          <w:b/>
        </w:rPr>
      </w:pPr>
    </w:p>
    <w:p w14:paraId="00000006" w14:textId="77777777" w:rsidR="00663CDF" w:rsidRDefault="00663CDF">
      <w:pPr>
        <w:pStyle w:val="Normal0"/>
        <w:spacing w:line="360" w:lineRule="auto"/>
        <w:jc w:val="center"/>
        <w:rPr>
          <w:b/>
        </w:rPr>
      </w:pPr>
    </w:p>
    <w:p w14:paraId="00000007" w14:textId="77777777" w:rsidR="00663CDF" w:rsidRDefault="00663CDF">
      <w:pPr>
        <w:pStyle w:val="Normal0"/>
        <w:spacing w:line="360" w:lineRule="auto"/>
        <w:jc w:val="center"/>
        <w:rPr>
          <w:b/>
        </w:rPr>
      </w:pPr>
    </w:p>
    <w:p w14:paraId="00000008" w14:textId="77777777" w:rsidR="00663CDF" w:rsidRDefault="00663CDF">
      <w:pPr>
        <w:pStyle w:val="Normal0"/>
        <w:spacing w:line="360" w:lineRule="auto"/>
        <w:jc w:val="center"/>
        <w:rPr>
          <w:b/>
        </w:rPr>
      </w:pPr>
    </w:p>
    <w:p w14:paraId="00000009" w14:textId="77777777" w:rsidR="00663CDF" w:rsidRDefault="00663CDF">
      <w:pPr>
        <w:pStyle w:val="Normal0"/>
        <w:spacing w:line="360" w:lineRule="auto"/>
        <w:jc w:val="center"/>
        <w:rPr>
          <w:b/>
        </w:rPr>
      </w:pPr>
    </w:p>
    <w:p w14:paraId="0000000A" w14:textId="77777777" w:rsidR="00663CDF" w:rsidRDefault="00663CDF">
      <w:pPr>
        <w:pStyle w:val="Normal0"/>
        <w:spacing w:line="360" w:lineRule="auto"/>
        <w:jc w:val="center"/>
        <w:rPr>
          <w:b/>
        </w:rPr>
      </w:pPr>
    </w:p>
    <w:p w14:paraId="0000000B" w14:textId="77777777" w:rsidR="00663CDF" w:rsidRDefault="00663CDF">
      <w:pPr>
        <w:pStyle w:val="Normal0"/>
        <w:spacing w:line="360" w:lineRule="auto"/>
        <w:jc w:val="center"/>
        <w:rPr>
          <w:b/>
        </w:rPr>
      </w:pPr>
    </w:p>
    <w:p w14:paraId="0000000C" w14:textId="77777777" w:rsidR="00663CDF" w:rsidRDefault="00663CDF">
      <w:pPr>
        <w:pStyle w:val="Normal0"/>
        <w:spacing w:line="360" w:lineRule="auto"/>
        <w:jc w:val="center"/>
        <w:rPr>
          <w:b/>
        </w:rPr>
      </w:pPr>
    </w:p>
    <w:p w14:paraId="0000000D" w14:textId="77777777" w:rsidR="00663CDF" w:rsidRDefault="00663CDF">
      <w:pPr>
        <w:pStyle w:val="Normal0"/>
        <w:spacing w:line="360" w:lineRule="auto"/>
        <w:jc w:val="center"/>
        <w:rPr>
          <w:b/>
        </w:rPr>
      </w:pPr>
    </w:p>
    <w:p w14:paraId="0000000E" w14:textId="77777777" w:rsidR="00663CDF" w:rsidRDefault="00663CDF">
      <w:pPr>
        <w:pStyle w:val="Normal0"/>
        <w:spacing w:line="360" w:lineRule="auto"/>
        <w:jc w:val="center"/>
        <w:rPr>
          <w:b/>
        </w:rPr>
      </w:pPr>
    </w:p>
    <w:p w14:paraId="0000000F" w14:textId="77777777" w:rsidR="00663CDF" w:rsidRDefault="00663CDF">
      <w:pPr>
        <w:pStyle w:val="Normal0"/>
        <w:spacing w:line="360" w:lineRule="auto"/>
        <w:jc w:val="center"/>
        <w:rPr>
          <w:b/>
        </w:rPr>
      </w:pPr>
    </w:p>
    <w:p w14:paraId="00000010" w14:textId="77777777" w:rsidR="00663CDF" w:rsidRDefault="00F71B39">
      <w:pPr>
        <w:pStyle w:val="Normal0"/>
        <w:spacing w:line="360" w:lineRule="auto"/>
        <w:jc w:val="center"/>
        <w:rPr>
          <w:b/>
        </w:rPr>
      </w:pPr>
      <w:r>
        <w:rPr>
          <w:b/>
        </w:rPr>
        <w:t>MARIA DEL SOCORRO SARABIA ZABALETA</w:t>
      </w:r>
      <w:r>
        <w:rPr>
          <w:b/>
        </w:rPr>
        <w:br/>
        <w:t>MARIO JAVIER MONTERO MARRUGO</w:t>
      </w:r>
    </w:p>
    <w:p w14:paraId="00000011" w14:textId="77777777" w:rsidR="00663CDF" w:rsidRDefault="00663CDF">
      <w:pPr>
        <w:pStyle w:val="Normal0"/>
        <w:spacing w:line="360" w:lineRule="auto"/>
        <w:jc w:val="center"/>
        <w:rPr>
          <w:b/>
        </w:rPr>
      </w:pPr>
    </w:p>
    <w:p w14:paraId="00000012" w14:textId="77777777" w:rsidR="00663CDF" w:rsidRDefault="00663CDF">
      <w:pPr>
        <w:pStyle w:val="Normal0"/>
        <w:spacing w:line="360" w:lineRule="auto"/>
        <w:jc w:val="center"/>
        <w:rPr>
          <w:b/>
        </w:rPr>
      </w:pPr>
    </w:p>
    <w:p w14:paraId="00000013" w14:textId="77777777" w:rsidR="00663CDF" w:rsidRDefault="00663CDF">
      <w:pPr>
        <w:pStyle w:val="Normal0"/>
        <w:spacing w:line="360" w:lineRule="auto"/>
        <w:jc w:val="center"/>
        <w:rPr>
          <w:b/>
        </w:rPr>
      </w:pPr>
    </w:p>
    <w:p w14:paraId="00000014" w14:textId="77777777" w:rsidR="00663CDF" w:rsidRDefault="00663CDF">
      <w:pPr>
        <w:pStyle w:val="Normal0"/>
        <w:spacing w:line="360" w:lineRule="auto"/>
        <w:jc w:val="center"/>
        <w:rPr>
          <w:b/>
        </w:rPr>
      </w:pPr>
    </w:p>
    <w:p w14:paraId="00000015" w14:textId="77777777" w:rsidR="00663CDF" w:rsidRDefault="00663CDF">
      <w:pPr>
        <w:pStyle w:val="Normal0"/>
        <w:spacing w:line="360" w:lineRule="auto"/>
        <w:jc w:val="center"/>
        <w:rPr>
          <w:b/>
        </w:rPr>
      </w:pPr>
    </w:p>
    <w:p w14:paraId="00000016" w14:textId="77777777" w:rsidR="00663CDF" w:rsidRDefault="00663CDF">
      <w:pPr>
        <w:pStyle w:val="Normal0"/>
        <w:spacing w:line="360" w:lineRule="auto"/>
        <w:jc w:val="center"/>
        <w:rPr>
          <w:b/>
        </w:rPr>
      </w:pPr>
    </w:p>
    <w:p w14:paraId="00000017" w14:textId="77777777" w:rsidR="00663CDF" w:rsidRDefault="00663CDF">
      <w:pPr>
        <w:pStyle w:val="Normal0"/>
        <w:spacing w:line="360" w:lineRule="auto"/>
        <w:jc w:val="center"/>
        <w:rPr>
          <w:b/>
        </w:rPr>
      </w:pPr>
    </w:p>
    <w:p w14:paraId="00000018" w14:textId="77777777" w:rsidR="00663CDF" w:rsidRDefault="00F71B39">
      <w:pPr>
        <w:pStyle w:val="Normal0"/>
        <w:spacing w:line="360" w:lineRule="auto"/>
        <w:jc w:val="center"/>
        <w:rPr>
          <w:b/>
        </w:rPr>
      </w:pPr>
      <w:r>
        <w:rPr>
          <w:b/>
        </w:rPr>
        <w:t>Modalidad:</w:t>
      </w:r>
    </w:p>
    <w:p w14:paraId="00000019" w14:textId="77777777" w:rsidR="00663CDF" w:rsidRDefault="00663CDF">
      <w:pPr>
        <w:pStyle w:val="Normal0"/>
        <w:spacing w:line="360" w:lineRule="auto"/>
        <w:jc w:val="center"/>
        <w:rPr>
          <w:b/>
        </w:rPr>
      </w:pPr>
    </w:p>
    <w:p w14:paraId="0000001A" w14:textId="77777777" w:rsidR="00663CDF" w:rsidRDefault="00F71B39">
      <w:pPr>
        <w:pStyle w:val="Normal0"/>
        <w:spacing w:line="360" w:lineRule="auto"/>
        <w:jc w:val="center"/>
        <w:rPr>
          <w:b/>
        </w:rPr>
      </w:pPr>
      <w:r>
        <w:rPr>
          <w:b/>
        </w:rPr>
        <w:t xml:space="preserve">Informe monográfico </w:t>
      </w:r>
      <w:proofErr w:type="gramStart"/>
      <w:r>
        <w:rPr>
          <w:b/>
        </w:rPr>
        <w:t>( X</w:t>
      </w:r>
      <w:proofErr w:type="gramEnd"/>
      <w:r>
        <w:rPr>
          <w:b/>
        </w:rPr>
        <w:t xml:space="preserve"> ) Artículo de investigación (  )</w:t>
      </w:r>
    </w:p>
    <w:p w14:paraId="0000001B" w14:textId="77777777" w:rsidR="00663CDF" w:rsidRDefault="00663CDF">
      <w:pPr>
        <w:pStyle w:val="Normal0"/>
        <w:spacing w:line="360" w:lineRule="auto"/>
        <w:jc w:val="center"/>
        <w:rPr>
          <w:b/>
        </w:rPr>
      </w:pPr>
    </w:p>
    <w:p w14:paraId="0000001C" w14:textId="77777777" w:rsidR="00663CDF" w:rsidRDefault="00663CDF">
      <w:pPr>
        <w:pStyle w:val="Normal0"/>
        <w:spacing w:line="360" w:lineRule="auto"/>
        <w:jc w:val="center"/>
        <w:rPr>
          <w:b/>
        </w:rPr>
      </w:pPr>
    </w:p>
    <w:p w14:paraId="0000001D" w14:textId="77777777" w:rsidR="00663CDF" w:rsidRDefault="00663CDF">
      <w:pPr>
        <w:pStyle w:val="Normal0"/>
        <w:spacing w:line="360" w:lineRule="auto"/>
        <w:jc w:val="center"/>
        <w:rPr>
          <w:b/>
        </w:rPr>
      </w:pPr>
    </w:p>
    <w:p w14:paraId="0000001E" w14:textId="77777777" w:rsidR="00663CDF" w:rsidRDefault="00663CDF">
      <w:pPr>
        <w:pStyle w:val="Normal0"/>
        <w:spacing w:line="360" w:lineRule="auto"/>
        <w:jc w:val="center"/>
        <w:rPr>
          <w:b/>
        </w:rPr>
      </w:pPr>
    </w:p>
    <w:p w14:paraId="0000001F" w14:textId="77777777" w:rsidR="00663CDF" w:rsidRDefault="00663CDF">
      <w:pPr>
        <w:pStyle w:val="Normal0"/>
        <w:spacing w:line="360" w:lineRule="auto"/>
        <w:jc w:val="center"/>
        <w:rPr>
          <w:b/>
        </w:rPr>
      </w:pPr>
    </w:p>
    <w:p w14:paraId="00000020" w14:textId="77777777" w:rsidR="00663CDF" w:rsidRDefault="00663CDF">
      <w:pPr>
        <w:pStyle w:val="Normal0"/>
        <w:spacing w:line="360" w:lineRule="auto"/>
        <w:jc w:val="center"/>
        <w:rPr>
          <w:b/>
        </w:rPr>
      </w:pPr>
    </w:p>
    <w:p w14:paraId="00000021" w14:textId="77777777" w:rsidR="00663CDF" w:rsidRDefault="00663CDF">
      <w:pPr>
        <w:pStyle w:val="Normal0"/>
        <w:spacing w:line="360" w:lineRule="auto"/>
        <w:jc w:val="center"/>
        <w:rPr>
          <w:b/>
        </w:rPr>
      </w:pPr>
    </w:p>
    <w:p w14:paraId="00000022" w14:textId="77777777" w:rsidR="00663CDF" w:rsidRDefault="00663CDF">
      <w:pPr>
        <w:pStyle w:val="Normal0"/>
        <w:spacing w:line="360" w:lineRule="auto"/>
        <w:jc w:val="center"/>
        <w:rPr>
          <w:b/>
        </w:rPr>
      </w:pPr>
    </w:p>
    <w:p w14:paraId="00000023" w14:textId="77777777" w:rsidR="00663CDF" w:rsidRDefault="00663CDF">
      <w:pPr>
        <w:pStyle w:val="Normal0"/>
        <w:spacing w:line="360" w:lineRule="auto"/>
        <w:jc w:val="center"/>
        <w:rPr>
          <w:b/>
        </w:rPr>
      </w:pPr>
    </w:p>
    <w:p w14:paraId="00000024" w14:textId="77777777" w:rsidR="00663CDF" w:rsidRDefault="00663CDF">
      <w:pPr>
        <w:pStyle w:val="Normal0"/>
        <w:spacing w:line="360" w:lineRule="auto"/>
        <w:jc w:val="center"/>
        <w:rPr>
          <w:b/>
        </w:rPr>
      </w:pPr>
    </w:p>
    <w:p w14:paraId="00000025" w14:textId="77777777" w:rsidR="00663CDF" w:rsidRDefault="00F71B39">
      <w:pPr>
        <w:pStyle w:val="Normal0"/>
        <w:spacing w:line="360" w:lineRule="auto"/>
        <w:jc w:val="center"/>
        <w:rPr>
          <w:b/>
        </w:rPr>
      </w:pPr>
      <w:r>
        <w:rPr>
          <w:b/>
        </w:rPr>
        <w:t>UNIVERSIDAD DE CARTAGENA</w:t>
      </w:r>
    </w:p>
    <w:p w14:paraId="00000026" w14:textId="77777777" w:rsidR="00663CDF" w:rsidRDefault="00F71B39">
      <w:pPr>
        <w:pStyle w:val="Normal0"/>
        <w:spacing w:line="360" w:lineRule="auto"/>
        <w:jc w:val="center"/>
        <w:rPr>
          <w:b/>
        </w:rPr>
      </w:pPr>
      <w:r>
        <w:rPr>
          <w:b/>
        </w:rPr>
        <w:t>INSTITUTO INTERNACIONAL DE ESTUDIOS DEL CARIBE</w:t>
      </w:r>
    </w:p>
    <w:p w14:paraId="00000027" w14:textId="77777777" w:rsidR="00663CDF" w:rsidRDefault="00F71B39">
      <w:pPr>
        <w:pStyle w:val="Normal0"/>
        <w:spacing w:line="360" w:lineRule="auto"/>
        <w:jc w:val="center"/>
        <w:rPr>
          <w:b/>
        </w:rPr>
      </w:pPr>
      <w:r>
        <w:rPr>
          <w:b/>
        </w:rPr>
        <w:t>FACULTAD DE CIENCIAS ECONÓMICAS</w:t>
      </w:r>
    </w:p>
    <w:p w14:paraId="00000028" w14:textId="77777777" w:rsidR="00663CDF" w:rsidRDefault="00F71B39">
      <w:pPr>
        <w:pStyle w:val="Normal0"/>
        <w:spacing w:line="360" w:lineRule="auto"/>
        <w:jc w:val="center"/>
        <w:rPr>
          <w:b/>
        </w:rPr>
      </w:pPr>
      <w:r>
        <w:rPr>
          <w:b/>
        </w:rPr>
        <w:t>MAESTRÍA EN DESARROLLO TERRITORIAL Y GESTIÓN PÚBLICA</w:t>
      </w:r>
    </w:p>
    <w:p w14:paraId="00000029" w14:textId="77777777" w:rsidR="00663CDF" w:rsidRDefault="00F71B39">
      <w:pPr>
        <w:pStyle w:val="Normal0"/>
        <w:spacing w:line="360" w:lineRule="auto"/>
        <w:jc w:val="center"/>
        <w:rPr>
          <w:b/>
        </w:rPr>
      </w:pPr>
      <w:r>
        <w:rPr>
          <w:b/>
        </w:rPr>
        <w:t>CARTAGENA DE INDIAS</w:t>
      </w:r>
    </w:p>
    <w:p w14:paraId="0000002A" w14:textId="77777777" w:rsidR="00663CDF" w:rsidRDefault="00F71B39">
      <w:pPr>
        <w:pStyle w:val="Normal0"/>
        <w:spacing w:line="360" w:lineRule="auto"/>
        <w:jc w:val="center"/>
        <w:rPr>
          <w:b/>
        </w:rPr>
      </w:pPr>
      <w:r>
        <w:rPr>
          <w:b/>
        </w:rPr>
        <w:t>2025</w:t>
      </w:r>
    </w:p>
    <w:p w14:paraId="0000002B" w14:textId="77777777" w:rsidR="00663CDF" w:rsidRDefault="00F71B39">
      <w:pPr>
        <w:pStyle w:val="Normal0"/>
        <w:spacing w:line="360" w:lineRule="auto"/>
        <w:jc w:val="center"/>
        <w:rPr>
          <w:b/>
        </w:rPr>
      </w:pPr>
      <w:r>
        <w:rPr>
          <w:b/>
        </w:rPr>
        <w:t>INCIDENCIA DE LA CATEGORIZACIÓN EN LA GESTIÓN PÚBLICA Y DESARROLLO SOCIAL EN EL MUNICIPIO TURBACO</w:t>
      </w:r>
    </w:p>
    <w:p w14:paraId="0000002C" w14:textId="77777777" w:rsidR="00663CDF" w:rsidRDefault="00663CDF">
      <w:pPr>
        <w:pStyle w:val="Normal0"/>
        <w:spacing w:line="360" w:lineRule="auto"/>
        <w:jc w:val="center"/>
        <w:rPr>
          <w:b/>
        </w:rPr>
      </w:pPr>
    </w:p>
    <w:p w14:paraId="0000002D" w14:textId="77777777" w:rsidR="00663CDF" w:rsidRDefault="00663CDF">
      <w:pPr>
        <w:pStyle w:val="Normal0"/>
        <w:spacing w:line="360" w:lineRule="auto"/>
        <w:jc w:val="center"/>
        <w:rPr>
          <w:b/>
        </w:rPr>
      </w:pPr>
    </w:p>
    <w:p w14:paraId="0000002E" w14:textId="77777777" w:rsidR="00663CDF" w:rsidRDefault="00663CDF">
      <w:pPr>
        <w:pStyle w:val="Normal0"/>
        <w:spacing w:line="360" w:lineRule="auto"/>
        <w:jc w:val="center"/>
        <w:rPr>
          <w:b/>
        </w:rPr>
      </w:pPr>
    </w:p>
    <w:p w14:paraId="0000002F" w14:textId="77777777" w:rsidR="00663CDF" w:rsidRDefault="00663CDF">
      <w:pPr>
        <w:pStyle w:val="Normal0"/>
        <w:spacing w:line="360" w:lineRule="auto"/>
        <w:jc w:val="center"/>
        <w:rPr>
          <w:b/>
        </w:rPr>
      </w:pPr>
    </w:p>
    <w:p w14:paraId="00000030" w14:textId="77777777" w:rsidR="00663CDF" w:rsidRDefault="00663CDF">
      <w:pPr>
        <w:pStyle w:val="Normal0"/>
        <w:spacing w:line="360" w:lineRule="auto"/>
        <w:jc w:val="center"/>
        <w:rPr>
          <w:b/>
        </w:rPr>
      </w:pPr>
    </w:p>
    <w:p w14:paraId="00000031" w14:textId="77777777" w:rsidR="00663CDF" w:rsidRDefault="00663CDF">
      <w:pPr>
        <w:pStyle w:val="Normal0"/>
        <w:spacing w:line="360" w:lineRule="auto"/>
        <w:jc w:val="center"/>
        <w:rPr>
          <w:b/>
        </w:rPr>
      </w:pPr>
    </w:p>
    <w:p w14:paraId="00000032" w14:textId="77777777" w:rsidR="00663CDF" w:rsidRDefault="00663CDF">
      <w:pPr>
        <w:pStyle w:val="Normal0"/>
        <w:spacing w:line="360" w:lineRule="auto"/>
        <w:jc w:val="center"/>
        <w:rPr>
          <w:b/>
        </w:rPr>
      </w:pPr>
    </w:p>
    <w:p w14:paraId="00000033" w14:textId="77777777" w:rsidR="00663CDF" w:rsidRDefault="00663CDF">
      <w:pPr>
        <w:pStyle w:val="Normal0"/>
        <w:spacing w:line="360" w:lineRule="auto"/>
        <w:jc w:val="center"/>
        <w:rPr>
          <w:b/>
        </w:rPr>
      </w:pPr>
    </w:p>
    <w:p w14:paraId="00000034" w14:textId="77777777" w:rsidR="00663CDF" w:rsidRDefault="00663CDF">
      <w:pPr>
        <w:pStyle w:val="Normal0"/>
        <w:spacing w:line="360" w:lineRule="auto"/>
        <w:jc w:val="center"/>
        <w:rPr>
          <w:b/>
        </w:rPr>
      </w:pPr>
    </w:p>
    <w:p w14:paraId="00000035" w14:textId="77777777" w:rsidR="00663CDF" w:rsidRDefault="00663CDF">
      <w:pPr>
        <w:pStyle w:val="Normal0"/>
        <w:spacing w:line="360" w:lineRule="auto"/>
        <w:jc w:val="center"/>
        <w:rPr>
          <w:b/>
        </w:rPr>
      </w:pPr>
    </w:p>
    <w:p w14:paraId="00000036" w14:textId="77777777" w:rsidR="00663CDF" w:rsidRDefault="00F71B39">
      <w:pPr>
        <w:pStyle w:val="Normal0"/>
        <w:spacing w:line="360" w:lineRule="auto"/>
        <w:jc w:val="center"/>
        <w:rPr>
          <w:b/>
        </w:rPr>
      </w:pPr>
      <w:r>
        <w:rPr>
          <w:b/>
        </w:rPr>
        <w:t>MARIA DEL SOCORRO SARABIA ZABALETA</w:t>
      </w:r>
    </w:p>
    <w:p w14:paraId="00000037" w14:textId="77777777" w:rsidR="00663CDF" w:rsidRDefault="00F71B39">
      <w:pPr>
        <w:pStyle w:val="Normal0"/>
        <w:spacing w:line="360" w:lineRule="auto"/>
        <w:jc w:val="center"/>
        <w:rPr>
          <w:b/>
        </w:rPr>
      </w:pPr>
      <w:r>
        <w:rPr>
          <w:b/>
        </w:rPr>
        <w:t>MARIO JAVIER MONTERO MARRUGO</w:t>
      </w:r>
    </w:p>
    <w:p w14:paraId="00000038" w14:textId="77777777" w:rsidR="00663CDF" w:rsidRDefault="00663CDF">
      <w:pPr>
        <w:pStyle w:val="Normal0"/>
        <w:spacing w:line="360" w:lineRule="auto"/>
        <w:jc w:val="center"/>
      </w:pPr>
    </w:p>
    <w:p w14:paraId="00000039" w14:textId="77777777" w:rsidR="00663CDF" w:rsidRDefault="00663CDF">
      <w:pPr>
        <w:pStyle w:val="Normal0"/>
        <w:spacing w:line="360" w:lineRule="auto"/>
        <w:jc w:val="center"/>
      </w:pPr>
    </w:p>
    <w:p w14:paraId="0000003A" w14:textId="77777777" w:rsidR="00663CDF" w:rsidRDefault="00663CDF">
      <w:pPr>
        <w:pStyle w:val="Normal0"/>
        <w:spacing w:line="360" w:lineRule="auto"/>
        <w:jc w:val="center"/>
      </w:pPr>
    </w:p>
    <w:p w14:paraId="0000003B" w14:textId="77777777" w:rsidR="00663CDF" w:rsidRDefault="00663CDF">
      <w:pPr>
        <w:pStyle w:val="Normal0"/>
        <w:spacing w:line="360" w:lineRule="auto"/>
        <w:jc w:val="center"/>
      </w:pPr>
    </w:p>
    <w:p w14:paraId="0000003C" w14:textId="77777777" w:rsidR="00663CDF" w:rsidRDefault="00663CDF">
      <w:pPr>
        <w:pStyle w:val="Normal0"/>
        <w:spacing w:line="360" w:lineRule="auto"/>
        <w:jc w:val="center"/>
      </w:pPr>
    </w:p>
    <w:p w14:paraId="0000003D" w14:textId="77777777" w:rsidR="00663CDF" w:rsidRDefault="00663CDF">
      <w:pPr>
        <w:pStyle w:val="Normal0"/>
        <w:spacing w:line="360" w:lineRule="auto"/>
        <w:jc w:val="center"/>
      </w:pPr>
    </w:p>
    <w:p w14:paraId="0000003E" w14:textId="77777777" w:rsidR="00663CDF" w:rsidRDefault="00663CDF">
      <w:pPr>
        <w:pStyle w:val="Normal0"/>
        <w:spacing w:line="360" w:lineRule="auto"/>
        <w:jc w:val="center"/>
        <w:rPr>
          <w:b/>
        </w:rPr>
      </w:pPr>
    </w:p>
    <w:p w14:paraId="0000003F" w14:textId="77777777" w:rsidR="00663CDF" w:rsidRDefault="00F71B39">
      <w:pPr>
        <w:pStyle w:val="Normal0"/>
        <w:spacing w:line="360" w:lineRule="auto"/>
        <w:jc w:val="center"/>
        <w:rPr>
          <w:b/>
        </w:rPr>
      </w:pPr>
      <w:r>
        <w:rPr>
          <w:b/>
        </w:rPr>
        <w:t>Trabajo de grado presentado como requisito parcial para optar al título de Magíster en Desarrollo Territorial y Gestión Pública</w:t>
      </w:r>
    </w:p>
    <w:p w14:paraId="00000040" w14:textId="77777777" w:rsidR="00663CDF" w:rsidRDefault="00663CDF">
      <w:pPr>
        <w:pStyle w:val="Normal0"/>
        <w:spacing w:line="360" w:lineRule="auto"/>
        <w:jc w:val="center"/>
        <w:rPr>
          <w:b/>
        </w:rPr>
      </w:pPr>
    </w:p>
    <w:p w14:paraId="00000041" w14:textId="77777777" w:rsidR="00663CDF" w:rsidRDefault="00663CDF">
      <w:pPr>
        <w:pStyle w:val="Normal0"/>
        <w:spacing w:line="360" w:lineRule="auto"/>
        <w:jc w:val="center"/>
        <w:rPr>
          <w:b/>
        </w:rPr>
      </w:pPr>
    </w:p>
    <w:p w14:paraId="00000042" w14:textId="77777777" w:rsidR="00663CDF" w:rsidRDefault="00663CDF">
      <w:pPr>
        <w:pStyle w:val="Normal0"/>
        <w:spacing w:line="360" w:lineRule="auto"/>
        <w:jc w:val="center"/>
        <w:rPr>
          <w:b/>
        </w:rPr>
      </w:pPr>
    </w:p>
    <w:p w14:paraId="00000043" w14:textId="77777777" w:rsidR="00663CDF" w:rsidRDefault="00663CDF">
      <w:pPr>
        <w:pStyle w:val="Normal0"/>
        <w:spacing w:line="360" w:lineRule="auto"/>
        <w:jc w:val="center"/>
        <w:rPr>
          <w:b/>
        </w:rPr>
      </w:pPr>
    </w:p>
    <w:p w14:paraId="00000044" w14:textId="77777777" w:rsidR="00663CDF" w:rsidRDefault="00663CDF">
      <w:pPr>
        <w:pStyle w:val="Normal0"/>
        <w:spacing w:line="360" w:lineRule="auto"/>
        <w:jc w:val="center"/>
        <w:rPr>
          <w:b/>
        </w:rPr>
      </w:pPr>
    </w:p>
    <w:p w14:paraId="00000045" w14:textId="77777777" w:rsidR="00663CDF" w:rsidRDefault="00F71B39">
      <w:pPr>
        <w:pStyle w:val="Normal0"/>
        <w:spacing w:line="360" w:lineRule="auto"/>
        <w:jc w:val="center"/>
        <w:rPr>
          <w:b/>
        </w:rPr>
      </w:pPr>
      <w:r>
        <w:rPr>
          <w:b/>
        </w:rPr>
        <w:t>Asesor</w:t>
      </w:r>
    </w:p>
    <w:p w14:paraId="00000046" w14:textId="77777777" w:rsidR="00663CDF" w:rsidRDefault="00F71B39">
      <w:pPr>
        <w:pStyle w:val="Normal0"/>
        <w:spacing w:line="360" w:lineRule="auto"/>
        <w:jc w:val="center"/>
        <w:rPr>
          <w:b/>
        </w:rPr>
      </w:pPr>
      <w:r>
        <w:rPr>
          <w:b/>
        </w:rPr>
        <w:t>AMARANTO DANIELS PUELLO</w:t>
      </w:r>
    </w:p>
    <w:p w14:paraId="00000047" w14:textId="77777777" w:rsidR="00663CDF" w:rsidRDefault="00F71B39">
      <w:pPr>
        <w:pStyle w:val="Normal0"/>
        <w:spacing w:line="360" w:lineRule="auto"/>
        <w:jc w:val="center"/>
        <w:rPr>
          <w:b/>
        </w:rPr>
      </w:pPr>
      <w:r>
        <w:rPr>
          <w:b/>
        </w:rPr>
        <w:t>Universidad de Cartagena</w:t>
      </w:r>
    </w:p>
    <w:p w14:paraId="00000048" w14:textId="77777777" w:rsidR="00663CDF" w:rsidRDefault="00663CDF">
      <w:pPr>
        <w:pStyle w:val="Normal0"/>
        <w:spacing w:line="360" w:lineRule="auto"/>
        <w:jc w:val="center"/>
        <w:rPr>
          <w:b/>
        </w:rPr>
      </w:pPr>
    </w:p>
    <w:p w14:paraId="00000049" w14:textId="77777777" w:rsidR="00663CDF" w:rsidRDefault="00663CDF">
      <w:pPr>
        <w:pStyle w:val="Normal0"/>
        <w:spacing w:line="360" w:lineRule="auto"/>
        <w:jc w:val="center"/>
        <w:rPr>
          <w:b/>
        </w:rPr>
      </w:pPr>
    </w:p>
    <w:p w14:paraId="0000004A" w14:textId="77777777" w:rsidR="00663CDF" w:rsidRDefault="00663CDF">
      <w:pPr>
        <w:pStyle w:val="Normal0"/>
        <w:spacing w:line="360" w:lineRule="auto"/>
        <w:jc w:val="center"/>
        <w:rPr>
          <w:b/>
        </w:rPr>
      </w:pPr>
    </w:p>
    <w:p w14:paraId="0000004B" w14:textId="77777777" w:rsidR="00663CDF" w:rsidRDefault="00663CDF">
      <w:pPr>
        <w:pStyle w:val="Normal0"/>
        <w:spacing w:line="360" w:lineRule="auto"/>
        <w:jc w:val="center"/>
        <w:rPr>
          <w:b/>
        </w:rPr>
      </w:pPr>
    </w:p>
    <w:p w14:paraId="0000004C" w14:textId="77777777" w:rsidR="00663CDF" w:rsidRDefault="00F71B39">
      <w:pPr>
        <w:pStyle w:val="Normal0"/>
        <w:spacing w:line="360" w:lineRule="auto"/>
        <w:jc w:val="center"/>
        <w:rPr>
          <w:b/>
        </w:rPr>
      </w:pPr>
      <w:r>
        <w:rPr>
          <w:b/>
        </w:rPr>
        <w:t>UNIVERSIDAD DE CARTAGENA</w:t>
      </w:r>
    </w:p>
    <w:p w14:paraId="0000004D" w14:textId="77777777" w:rsidR="00663CDF" w:rsidRDefault="00F71B39">
      <w:pPr>
        <w:pStyle w:val="Normal0"/>
        <w:spacing w:line="360" w:lineRule="auto"/>
        <w:jc w:val="center"/>
        <w:rPr>
          <w:b/>
        </w:rPr>
      </w:pPr>
      <w:r>
        <w:rPr>
          <w:b/>
        </w:rPr>
        <w:t>INSTITUTO INTERNACIONAL DE ESTUDIOS DEL CARIBE</w:t>
      </w:r>
    </w:p>
    <w:p w14:paraId="0000004E" w14:textId="77777777" w:rsidR="00663CDF" w:rsidRDefault="00F71B39">
      <w:pPr>
        <w:pStyle w:val="Normal0"/>
        <w:spacing w:line="360" w:lineRule="auto"/>
        <w:jc w:val="center"/>
        <w:rPr>
          <w:b/>
        </w:rPr>
      </w:pPr>
      <w:r>
        <w:rPr>
          <w:b/>
        </w:rPr>
        <w:t>FACULTAD DE CIENCIAS ECONÓMICAS</w:t>
      </w:r>
    </w:p>
    <w:p w14:paraId="0000004F" w14:textId="77777777" w:rsidR="00663CDF" w:rsidRDefault="00F71B39">
      <w:pPr>
        <w:pStyle w:val="Normal0"/>
        <w:spacing w:line="360" w:lineRule="auto"/>
        <w:jc w:val="center"/>
        <w:rPr>
          <w:b/>
        </w:rPr>
      </w:pPr>
      <w:r>
        <w:rPr>
          <w:b/>
        </w:rPr>
        <w:t>MAESTRÍA EN DESARROLLO TERRITORIAL Y GESTIÓN PÚBLICA</w:t>
      </w:r>
    </w:p>
    <w:p w14:paraId="00000050" w14:textId="77777777" w:rsidR="00663CDF" w:rsidRDefault="00F71B39">
      <w:pPr>
        <w:pStyle w:val="Normal0"/>
        <w:spacing w:line="360" w:lineRule="auto"/>
        <w:jc w:val="center"/>
        <w:rPr>
          <w:b/>
        </w:rPr>
      </w:pPr>
      <w:r>
        <w:rPr>
          <w:b/>
        </w:rPr>
        <w:t>CARTAGENA DE INDIAS</w:t>
      </w:r>
    </w:p>
    <w:p w14:paraId="00000051" w14:textId="77777777" w:rsidR="00663CDF" w:rsidRDefault="00F71B39">
      <w:pPr>
        <w:pStyle w:val="Normal0"/>
        <w:spacing w:line="360" w:lineRule="auto"/>
        <w:jc w:val="center"/>
        <w:rPr>
          <w:b/>
        </w:rPr>
      </w:pPr>
      <w:r>
        <w:rPr>
          <w:b/>
        </w:rPr>
        <w:t>2025</w:t>
      </w:r>
    </w:p>
    <w:p w14:paraId="00000052" w14:textId="77777777" w:rsidR="00663CDF" w:rsidRDefault="00663CDF">
      <w:pPr>
        <w:pStyle w:val="Normal0"/>
        <w:spacing w:line="360" w:lineRule="auto"/>
        <w:jc w:val="center"/>
        <w:rPr>
          <w:b/>
        </w:rPr>
      </w:pPr>
    </w:p>
    <w:p w14:paraId="00000053" w14:textId="77777777" w:rsidR="00663CDF" w:rsidRDefault="00663CDF">
      <w:pPr>
        <w:pStyle w:val="Normal0"/>
        <w:spacing w:line="360" w:lineRule="auto"/>
        <w:jc w:val="center"/>
        <w:rPr>
          <w:b/>
        </w:rPr>
      </w:pPr>
    </w:p>
    <w:p w14:paraId="00000054" w14:textId="77777777" w:rsidR="00663CDF" w:rsidRDefault="00663CDF">
      <w:pPr>
        <w:pStyle w:val="Normal0"/>
        <w:spacing w:line="360" w:lineRule="auto"/>
        <w:jc w:val="center"/>
        <w:rPr>
          <w:b/>
        </w:rPr>
      </w:pPr>
    </w:p>
    <w:p w14:paraId="00000055" w14:textId="77777777" w:rsidR="00663CDF" w:rsidRDefault="00663CDF">
      <w:pPr>
        <w:pStyle w:val="Normal0"/>
        <w:spacing w:line="360" w:lineRule="auto"/>
        <w:jc w:val="center"/>
        <w:rPr>
          <w:b/>
        </w:rPr>
      </w:pPr>
    </w:p>
    <w:p w14:paraId="00000056" w14:textId="77777777" w:rsidR="00663CDF" w:rsidRDefault="00663CDF">
      <w:pPr>
        <w:pStyle w:val="Normal0"/>
        <w:spacing w:line="360" w:lineRule="auto"/>
        <w:jc w:val="center"/>
        <w:rPr>
          <w:b/>
        </w:rPr>
      </w:pPr>
    </w:p>
    <w:p w14:paraId="00000057" w14:textId="77777777" w:rsidR="00663CDF" w:rsidRDefault="00663CDF">
      <w:pPr>
        <w:pStyle w:val="Normal0"/>
        <w:spacing w:line="360" w:lineRule="auto"/>
        <w:jc w:val="center"/>
        <w:rPr>
          <w:b/>
        </w:rPr>
      </w:pPr>
    </w:p>
    <w:p w14:paraId="00000058" w14:textId="77777777" w:rsidR="00663CDF" w:rsidRDefault="00663CDF">
      <w:pPr>
        <w:pStyle w:val="Normal0"/>
        <w:spacing w:line="360" w:lineRule="auto"/>
        <w:jc w:val="center"/>
        <w:rPr>
          <w:b/>
        </w:rPr>
      </w:pPr>
    </w:p>
    <w:p w14:paraId="00000059" w14:textId="77777777" w:rsidR="00663CDF" w:rsidRDefault="00663CDF">
      <w:pPr>
        <w:pStyle w:val="Normal0"/>
        <w:spacing w:line="360" w:lineRule="auto"/>
        <w:jc w:val="center"/>
        <w:rPr>
          <w:b/>
        </w:rPr>
      </w:pPr>
    </w:p>
    <w:p w14:paraId="0000005A" w14:textId="77777777" w:rsidR="00663CDF" w:rsidRDefault="00663CDF">
      <w:pPr>
        <w:pStyle w:val="Normal0"/>
        <w:spacing w:line="360" w:lineRule="auto"/>
        <w:rPr>
          <w:b/>
        </w:rPr>
      </w:pPr>
    </w:p>
    <w:p w14:paraId="0000005B" w14:textId="77777777" w:rsidR="00663CDF" w:rsidRDefault="00663CDF">
      <w:pPr>
        <w:pStyle w:val="Normal0"/>
        <w:spacing w:line="360" w:lineRule="auto"/>
        <w:rPr>
          <w:b/>
        </w:rPr>
      </w:pPr>
    </w:p>
    <w:p w14:paraId="0000005C" w14:textId="77777777" w:rsidR="00663CDF" w:rsidRDefault="00F71B39">
      <w:pPr>
        <w:pStyle w:val="Normal0"/>
        <w:spacing w:line="360" w:lineRule="auto"/>
        <w:jc w:val="right"/>
        <w:rPr>
          <w:b/>
        </w:rPr>
      </w:pPr>
      <w:r>
        <w:rPr>
          <w:b/>
        </w:rPr>
        <w:t>Nota de aceptación</w:t>
      </w:r>
    </w:p>
    <w:p w14:paraId="0000005D" w14:textId="77777777" w:rsidR="00663CDF" w:rsidRDefault="00663CDF">
      <w:pPr>
        <w:pStyle w:val="Normal0"/>
        <w:spacing w:line="360" w:lineRule="auto"/>
        <w:jc w:val="right"/>
        <w:rPr>
          <w:b/>
        </w:rPr>
      </w:pPr>
    </w:p>
    <w:p w14:paraId="0000005E" w14:textId="77777777" w:rsidR="00663CDF" w:rsidRDefault="00663CDF">
      <w:pPr>
        <w:pStyle w:val="Normal0"/>
        <w:spacing w:line="360" w:lineRule="auto"/>
        <w:jc w:val="right"/>
        <w:rPr>
          <w:b/>
        </w:rPr>
      </w:pPr>
    </w:p>
    <w:p w14:paraId="0000005F" w14:textId="77777777" w:rsidR="00663CDF" w:rsidRDefault="00F71B39">
      <w:pPr>
        <w:pStyle w:val="Normal0"/>
        <w:spacing w:line="360" w:lineRule="auto"/>
        <w:jc w:val="right"/>
      </w:pPr>
      <w:r>
        <w:t>_____________________________________________</w:t>
      </w:r>
    </w:p>
    <w:p w14:paraId="00000060" w14:textId="77777777" w:rsidR="00663CDF" w:rsidRDefault="00F71B39">
      <w:pPr>
        <w:pStyle w:val="Normal0"/>
        <w:spacing w:line="360" w:lineRule="auto"/>
        <w:jc w:val="right"/>
      </w:pPr>
      <w:r>
        <w:t>_____________________________________________</w:t>
      </w:r>
    </w:p>
    <w:p w14:paraId="00000061" w14:textId="77777777" w:rsidR="00663CDF" w:rsidRDefault="00F71B39">
      <w:pPr>
        <w:pStyle w:val="Normal0"/>
        <w:spacing w:line="360" w:lineRule="auto"/>
        <w:jc w:val="right"/>
      </w:pPr>
      <w:r>
        <w:t>_____________________________________________</w:t>
      </w:r>
    </w:p>
    <w:p w14:paraId="00000062" w14:textId="77777777" w:rsidR="00663CDF" w:rsidRDefault="00F71B39">
      <w:pPr>
        <w:pStyle w:val="Normal0"/>
        <w:spacing w:line="360" w:lineRule="auto"/>
        <w:jc w:val="right"/>
      </w:pPr>
      <w:r>
        <w:t>_____________________________________________</w:t>
      </w:r>
    </w:p>
    <w:p w14:paraId="00000063" w14:textId="77777777" w:rsidR="00663CDF" w:rsidRDefault="00F71B39">
      <w:pPr>
        <w:pStyle w:val="Normal0"/>
        <w:spacing w:line="360" w:lineRule="auto"/>
        <w:jc w:val="right"/>
      </w:pPr>
      <w:r>
        <w:t>_____________________________________________</w:t>
      </w:r>
    </w:p>
    <w:p w14:paraId="00000064" w14:textId="77777777" w:rsidR="00663CDF" w:rsidRDefault="00F71B39">
      <w:pPr>
        <w:pStyle w:val="Normal0"/>
        <w:spacing w:line="360" w:lineRule="auto"/>
        <w:jc w:val="right"/>
      </w:pPr>
      <w:r>
        <w:t>_____________________________________________</w:t>
      </w:r>
    </w:p>
    <w:p w14:paraId="00000065" w14:textId="77777777" w:rsidR="00663CDF" w:rsidRDefault="00F71B39">
      <w:pPr>
        <w:pStyle w:val="Normal0"/>
        <w:spacing w:line="360" w:lineRule="auto"/>
        <w:jc w:val="right"/>
      </w:pPr>
      <w:r>
        <w:t>_____________________________________________</w:t>
      </w:r>
    </w:p>
    <w:p w14:paraId="00000066" w14:textId="77777777" w:rsidR="00663CDF" w:rsidRDefault="00663CDF">
      <w:pPr>
        <w:pStyle w:val="Normal0"/>
        <w:spacing w:line="360" w:lineRule="auto"/>
        <w:jc w:val="right"/>
      </w:pPr>
    </w:p>
    <w:p w14:paraId="00000067" w14:textId="77777777" w:rsidR="00663CDF" w:rsidRDefault="00663CDF">
      <w:pPr>
        <w:pStyle w:val="Normal0"/>
        <w:spacing w:line="360" w:lineRule="auto"/>
        <w:jc w:val="right"/>
        <w:rPr>
          <w:b/>
        </w:rPr>
      </w:pPr>
    </w:p>
    <w:p w14:paraId="00000068" w14:textId="77777777" w:rsidR="00663CDF" w:rsidRDefault="00F71B39">
      <w:pPr>
        <w:pStyle w:val="Normal0"/>
        <w:spacing w:line="360" w:lineRule="auto"/>
        <w:jc w:val="right"/>
        <w:rPr>
          <w:b/>
        </w:rPr>
      </w:pPr>
      <w:r>
        <w:rPr>
          <w:b/>
        </w:rPr>
        <w:t>FIRMA DEL PRESIDENTE DEL JURADO</w:t>
      </w:r>
    </w:p>
    <w:p w14:paraId="00000069" w14:textId="77777777" w:rsidR="00663CDF" w:rsidRDefault="00F71B39">
      <w:pPr>
        <w:pStyle w:val="Normal0"/>
        <w:spacing w:line="360" w:lineRule="auto"/>
        <w:jc w:val="right"/>
        <w:rPr>
          <w:b/>
        </w:rPr>
      </w:pPr>
      <w:r>
        <w:rPr>
          <w:b/>
        </w:rPr>
        <w:t>_______________________________</w:t>
      </w:r>
    </w:p>
    <w:p w14:paraId="0000006A" w14:textId="77777777" w:rsidR="00663CDF" w:rsidRDefault="00663CDF">
      <w:pPr>
        <w:pStyle w:val="Normal0"/>
        <w:spacing w:line="360" w:lineRule="auto"/>
        <w:jc w:val="right"/>
        <w:rPr>
          <w:b/>
        </w:rPr>
      </w:pPr>
    </w:p>
    <w:p w14:paraId="0000006B" w14:textId="77777777" w:rsidR="00663CDF" w:rsidRDefault="00663CDF">
      <w:pPr>
        <w:pStyle w:val="Normal0"/>
        <w:spacing w:line="360" w:lineRule="auto"/>
        <w:jc w:val="right"/>
        <w:rPr>
          <w:b/>
        </w:rPr>
      </w:pPr>
    </w:p>
    <w:p w14:paraId="0000006C" w14:textId="77777777" w:rsidR="00663CDF" w:rsidRDefault="00F71B39">
      <w:pPr>
        <w:pStyle w:val="Normal0"/>
        <w:spacing w:line="360" w:lineRule="auto"/>
        <w:jc w:val="right"/>
        <w:rPr>
          <w:b/>
        </w:rPr>
      </w:pPr>
      <w:r>
        <w:rPr>
          <w:b/>
        </w:rPr>
        <w:t>FIRMA JURADO</w:t>
      </w:r>
    </w:p>
    <w:p w14:paraId="0000006D" w14:textId="77777777" w:rsidR="00663CDF" w:rsidRDefault="00F71B39">
      <w:pPr>
        <w:pStyle w:val="Normal0"/>
        <w:spacing w:line="360" w:lineRule="auto"/>
        <w:jc w:val="right"/>
        <w:rPr>
          <w:b/>
        </w:rPr>
      </w:pPr>
      <w:r>
        <w:rPr>
          <w:b/>
        </w:rPr>
        <w:t>_______________________________</w:t>
      </w:r>
    </w:p>
    <w:p w14:paraId="0000006E" w14:textId="77777777" w:rsidR="00663CDF" w:rsidRDefault="00663CDF">
      <w:pPr>
        <w:pStyle w:val="Normal0"/>
        <w:spacing w:line="360" w:lineRule="auto"/>
        <w:jc w:val="right"/>
        <w:rPr>
          <w:b/>
        </w:rPr>
      </w:pPr>
    </w:p>
    <w:p w14:paraId="0000006F" w14:textId="77777777" w:rsidR="00663CDF" w:rsidRDefault="00663CDF">
      <w:pPr>
        <w:pStyle w:val="Normal0"/>
        <w:spacing w:line="360" w:lineRule="auto"/>
        <w:jc w:val="right"/>
        <w:rPr>
          <w:b/>
        </w:rPr>
      </w:pPr>
    </w:p>
    <w:p w14:paraId="00000070" w14:textId="77777777" w:rsidR="00663CDF" w:rsidRDefault="00F71B39">
      <w:pPr>
        <w:pStyle w:val="Normal0"/>
        <w:spacing w:line="360" w:lineRule="auto"/>
        <w:jc w:val="right"/>
        <w:rPr>
          <w:b/>
        </w:rPr>
      </w:pPr>
      <w:r>
        <w:rPr>
          <w:b/>
        </w:rPr>
        <w:t>FIRMA JURADO</w:t>
      </w:r>
    </w:p>
    <w:p w14:paraId="00000071" w14:textId="77777777" w:rsidR="00663CDF" w:rsidRDefault="00F71B39">
      <w:pPr>
        <w:pStyle w:val="Normal0"/>
        <w:spacing w:line="360" w:lineRule="auto"/>
        <w:jc w:val="right"/>
        <w:rPr>
          <w:b/>
        </w:rPr>
      </w:pPr>
      <w:r>
        <w:rPr>
          <w:b/>
        </w:rPr>
        <w:t>_______________________________</w:t>
      </w:r>
    </w:p>
    <w:p w14:paraId="00000072" w14:textId="77777777" w:rsidR="00663CDF" w:rsidRDefault="00663CDF">
      <w:pPr>
        <w:pStyle w:val="Normal0"/>
        <w:spacing w:line="360" w:lineRule="auto"/>
        <w:jc w:val="right"/>
        <w:rPr>
          <w:b/>
        </w:rPr>
      </w:pPr>
    </w:p>
    <w:p w14:paraId="00000073" w14:textId="77777777" w:rsidR="00663CDF" w:rsidRDefault="00663CDF">
      <w:pPr>
        <w:pStyle w:val="Normal0"/>
        <w:spacing w:line="360" w:lineRule="auto"/>
        <w:jc w:val="right"/>
        <w:rPr>
          <w:b/>
        </w:rPr>
      </w:pPr>
    </w:p>
    <w:p w14:paraId="00000074" w14:textId="77777777" w:rsidR="00663CDF" w:rsidRDefault="00663CDF">
      <w:pPr>
        <w:pStyle w:val="Normal0"/>
        <w:spacing w:line="360" w:lineRule="auto"/>
        <w:jc w:val="right"/>
        <w:rPr>
          <w:b/>
        </w:rPr>
      </w:pPr>
    </w:p>
    <w:p w14:paraId="00000075" w14:textId="77777777" w:rsidR="00663CDF" w:rsidRDefault="00663CDF">
      <w:pPr>
        <w:pStyle w:val="Normal0"/>
        <w:spacing w:line="360" w:lineRule="auto"/>
        <w:rPr>
          <w:b/>
        </w:rPr>
      </w:pPr>
    </w:p>
    <w:p w14:paraId="00000076" w14:textId="77777777" w:rsidR="00663CDF" w:rsidRDefault="00663CDF">
      <w:pPr>
        <w:pStyle w:val="Normal0"/>
        <w:spacing w:line="360" w:lineRule="auto"/>
        <w:rPr>
          <w:b/>
        </w:rPr>
      </w:pPr>
    </w:p>
    <w:p w14:paraId="00000077" w14:textId="77777777" w:rsidR="00663CDF" w:rsidRDefault="00F71B39">
      <w:pPr>
        <w:pStyle w:val="Normal0"/>
        <w:spacing w:line="360" w:lineRule="auto"/>
        <w:jc w:val="center"/>
        <w:rPr>
          <w:b/>
        </w:rPr>
      </w:pPr>
      <w:r>
        <w:rPr>
          <w:b/>
        </w:rPr>
        <w:t>Cartagena DT y C. 17 de junio de 2025</w:t>
      </w:r>
    </w:p>
    <w:p w14:paraId="00000078" w14:textId="77777777" w:rsidR="00663CDF" w:rsidRDefault="00F71B39">
      <w:pPr>
        <w:pStyle w:val="Normal0"/>
        <w:spacing w:line="360" w:lineRule="auto"/>
      </w:pPr>
      <w:bookmarkStart w:id="2" w:name="_heading=h.kk7npgc49zx8" w:colFirst="0" w:colLast="0"/>
      <w:bookmarkEnd w:id="2"/>
      <w:r>
        <w:rPr>
          <w:b/>
        </w:rPr>
        <w:lastRenderedPageBreak/>
        <w:t>DEDICATORIA</w:t>
      </w:r>
    </w:p>
    <w:p w14:paraId="00000079" w14:textId="77777777" w:rsidR="00663CDF" w:rsidRDefault="00663CDF">
      <w:pPr>
        <w:pStyle w:val="Normal0"/>
        <w:spacing w:line="360" w:lineRule="auto"/>
      </w:pPr>
    </w:p>
    <w:p w14:paraId="0000007A" w14:textId="77777777" w:rsidR="00663CDF" w:rsidRDefault="00F71B39">
      <w:pPr>
        <w:pStyle w:val="Normal0"/>
        <w:spacing w:line="360" w:lineRule="auto"/>
      </w:pPr>
      <w:r>
        <w:t>A nuestros hijos, madres y familia en general, por su apoyo incondicional y su fe en nosotros. Su amor y sacrificio han sido la base sobre la cual construimos este sueño.</w:t>
      </w:r>
    </w:p>
    <w:p w14:paraId="0000007B" w14:textId="77777777" w:rsidR="00663CDF" w:rsidRDefault="00663CDF">
      <w:pPr>
        <w:pStyle w:val="Normal0"/>
        <w:spacing w:line="360" w:lineRule="auto"/>
      </w:pPr>
    </w:p>
    <w:p w14:paraId="0000007C" w14:textId="77777777" w:rsidR="00663CDF" w:rsidRDefault="00F71B39">
      <w:pPr>
        <w:pStyle w:val="Normal0"/>
        <w:spacing w:line="360" w:lineRule="auto"/>
      </w:pPr>
      <w:r>
        <w:t>El trabajo, la perseverancia y el deseo constante de superación nos permitieron sortear obstáculos y superar los límites que, como seres humanos, enfrentamos.</w:t>
      </w:r>
    </w:p>
    <w:p w14:paraId="0000007D" w14:textId="77777777" w:rsidR="00663CDF" w:rsidRDefault="00663CDF">
      <w:pPr>
        <w:pStyle w:val="Normal0"/>
        <w:spacing w:line="360" w:lineRule="auto"/>
      </w:pPr>
    </w:p>
    <w:p w14:paraId="0000007E" w14:textId="77777777" w:rsidR="00663CDF" w:rsidRDefault="00F71B39">
      <w:pPr>
        <w:pStyle w:val="Normal0"/>
        <w:spacing w:line="360" w:lineRule="auto"/>
      </w:pPr>
      <w:r>
        <w:t>A nuestros amigos y compañeros, quienes, con su aliento y respaldo, fortalecieron nuestro crecimiento académico y profesional.</w:t>
      </w:r>
    </w:p>
    <w:p w14:paraId="0000007F" w14:textId="77777777" w:rsidR="00663CDF" w:rsidRDefault="00F71B39">
      <w:pPr>
        <w:pStyle w:val="Normal0"/>
        <w:spacing w:line="360" w:lineRule="auto"/>
        <w:rPr>
          <w:b/>
        </w:rPr>
      </w:pPr>
      <w:r>
        <w:br w:type="page"/>
      </w:r>
    </w:p>
    <w:p w14:paraId="00000080" w14:textId="77777777" w:rsidR="00663CDF" w:rsidRDefault="00F71B39">
      <w:pPr>
        <w:pStyle w:val="Normal0"/>
        <w:spacing w:line="360" w:lineRule="auto"/>
        <w:rPr>
          <w:b/>
        </w:rPr>
      </w:pPr>
      <w:r>
        <w:rPr>
          <w:b/>
        </w:rPr>
        <w:lastRenderedPageBreak/>
        <w:t>AGRADECIMIENTOS</w:t>
      </w:r>
    </w:p>
    <w:p w14:paraId="00000081" w14:textId="77777777" w:rsidR="00663CDF" w:rsidRDefault="00663CDF">
      <w:pPr>
        <w:pStyle w:val="Normal0"/>
        <w:spacing w:line="360" w:lineRule="auto"/>
      </w:pPr>
    </w:p>
    <w:p w14:paraId="00000082" w14:textId="77777777" w:rsidR="00663CDF" w:rsidRDefault="00F71B39">
      <w:pPr>
        <w:pStyle w:val="Normal0"/>
        <w:spacing w:line="360" w:lineRule="auto"/>
      </w:pPr>
      <w:r>
        <w:t>A Dios, por guiarnos y darnos la fortaleza para enfrentar cada reto.</w:t>
      </w:r>
    </w:p>
    <w:p w14:paraId="00000083" w14:textId="77777777" w:rsidR="00663CDF" w:rsidRDefault="00663CDF">
      <w:pPr>
        <w:pStyle w:val="Normal0"/>
        <w:spacing w:line="360" w:lineRule="auto"/>
      </w:pPr>
    </w:p>
    <w:p w14:paraId="00000084" w14:textId="77777777" w:rsidR="00663CDF" w:rsidRDefault="00F71B39">
      <w:pPr>
        <w:pStyle w:val="Normal0"/>
        <w:spacing w:line="360" w:lineRule="auto"/>
      </w:pPr>
      <w:r>
        <w:t>A nuestras familias, cuyo amor y sacrificio han sido fundamentales en nuestra formación académica, gracias por ser nuestro refugio y nuestro motor.</w:t>
      </w:r>
    </w:p>
    <w:p w14:paraId="00000085" w14:textId="77777777" w:rsidR="00663CDF" w:rsidRDefault="00663CDF">
      <w:pPr>
        <w:pStyle w:val="Normal0"/>
        <w:spacing w:line="360" w:lineRule="auto"/>
      </w:pPr>
    </w:p>
    <w:p w14:paraId="00000086" w14:textId="77777777" w:rsidR="00663CDF" w:rsidRDefault="00F71B39">
      <w:pPr>
        <w:pStyle w:val="Normal0"/>
        <w:spacing w:line="360" w:lineRule="auto"/>
      </w:pPr>
      <w:r>
        <w:t>A la Universidad de Cartagena y a los directivos de la Maestría en Desarrollo y Gestión Pública, por brindarnos este espacio de crecimiento; en especial, al doctor Francisco Maza, por su apoyo y dirección, y a nuestro director de tesis, el doctor Amaranto Daniels, por su guía, paciencia y sabiduría.</w:t>
      </w:r>
    </w:p>
    <w:p w14:paraId="00000087" w14:textId="77777777" w:rsidR="00663CDF" w:rsidRDefault="00663CDF">
      <w:pPr>
        <w:pStyle w:val="Normal0"/>
        <w:spacing w:line="360" w:lineRule="auto"/>
      </w:pPr>
    </w:p>
    <w:p w14:paraId="00000088" w14:textId="77777777" w:rsidR="00663CDF" w:rsidRDefault="00F71B39">
      <w:pPr>
        <w:pStyle w:val="Normal0"/>
        <w:spacing w:line="360" w:lineRule="auto"/>
      </w:pPr>
      <w:r>
        <w:t>A nuestros compañeros de maestría, quienes han sido más que colegas: una fuente invaluable de aprendizaje, apoyo y amistad. Las discusiones académicas, el intercambio de ideas y el trabajo en equipo han enriquecido este proceso.</w:t>
      </w:r>
    </w:p>
    <w:p w14:paraId="00000089" w14:textId="77777777" w:rsidR="00663CDF" w:rsidRDefault="00663CDF">
      <w:pPr>
        <w:pStyle w:val="Normal0"/>
        <w:spacing w:line="360" w:lineRule="auto"/>
      </w:pPr>
    </w:p>
    <w:p w14:paraId="0000008A" w14:textId="77777777" w:rsidR="00663CDF" w:rsidRDefault="00F71B39">
      <w:pPr>
        <w:pStyle w:val="Normal0"/>
        <w:spacing w:line="360" w:lineRule="auto"/>
      </w:pPr>
      <w:r>
        <w:t>Finalmente, agradecemos a todas las personas que, de una u otra manera, han sido parte de este camino; sus enseñanzas, consejos y apoyo han sido clave para la materialización de este trabajo.</w:t>
      </w:r>
    </w:p>
    <w:p w14:paraId="0000008B" w14:textId="77777777" w:rsidR="00663CDF" w:rsidRDefault="00663CDF">
      <w:pPr>
        <w:pStyle w:val="Normal0"/>
        <w:spacing w:line="360" w:lineRule="auto"/>
      </w:pPr>
    </w:p>
    <w:p w14:paraId="0000008C" w14:textId="77777777" w:rsidR="00663CDF" w:rsidRDefault="00F71B39">
      <w:pPr>
        <w:pStyle w:val="Normal0"/>
        <w:spacing w:line="360" w:lineRule="auto"/>
      </w:pPr>
      <w:r>
        <w:t>Este logro es el resultado de un esfuerzo compartido y, por ello, a todos, nuestro más sincero agradecimiento.</w:t>
      </w:r>
      <w:r>
        <w:br w:type="page"/>
      </w:r>
    </w:p>
    <w:p w14:paraId="0000008D" w14:textId="77777777" w:rsidR="00663CDF" w:rsidRDefault="00F71B39">
      <w:pPr>
        <w:pStyle w:val="Normal0"/>
        <w:spacing w:line="360" w:lineRule="auto"/>
      </w:pPr>
      <w:r>
        <w:rPr>
          <w:b/>
        </w:rPr>
        <w:lastRenderedPageBreak/>
        <w:t>RESUMEN</w:t>
      </w:r>
    </w:p>
    <w:p w14:paraId="0000008E" w14:textId="77777777" w:rsidR="00663CDF" w:rsidRDefault="00663CDF">
      <w:pPr>
        <w:pStyle w:val="Normal0"/>
        <w:spacing w:line="360" w:lineRule="auto"/>
      </w:pPr>
    </w:p>
    <w:p w14:paraId="0000008F" w14:textId="77777777" w:rsidR="00663CDF" w:rsidRDefault="00F71B39">
      <w:pPr>
        <w:pStyle w:val="Normal0"/>
        <w:spacing w:line="360" w:lineRule="auto"/>
      </w:pPr>
      <w:r>
        <w:t>La presente investigación enfocada en analizar como la gestión administrativa y financiera del municipio de Turbaco-Bolívar en lo relacionado con la categorización y la descentralización, y sus efectos para el desarrollo social del municipio, con lo cual se pretende identificar cómo las prácticas de gestión pública inciden directamente sobre el bienestar de los ciudadanos.</w:t>
      </w:r>
    </w:p>
    <w:p w14:paraId="00000090" w14:textId="77777777" w:rsidR="00663CDF" w:rsidRDefault="00663CDF">
      <w:pPr>
        <w:pStyle w:val="Normal0"/>
        <w:spacing w:line="360" w:lineRule="auto"/>
      </w:pPr>
    </w:p>
    <w:p w14:paraId="00000091" w14:textId="77777777" w:rsidR="00663CDF" w:rsidRDefault="00F71B39">
      <w:pPr>
        <w:pStyle w:val="Normal0"/>
        <w:spacing w:line="360" w:lineRule="auto"/>
      </w:pPr>
      <w:r>
        <w:t xml:space="preserve">Para la elaboración de la tesis se llevará a cabo una revisión documental sobre los planes, programas y acciones ejecutadas por la administración en los procesos inherentes a la descentralización y categorización, del municipio en concordancia con la normatividad y las temáticas alrededor de la investigación. Lo anterior con el fin de evidenciar la importancia de la gestión administrativa y fiscal, así como lo determinante que son estas para el desarrollo municipal. </w:t>
      </w:r>
    </w:p>
    <w:p w14:paraId="00000092" w14:textId="77777777" w:rsidR="00663CDF" w:rsidRDefault="00663CDF">
      <w:pPr>
        <w:pStyle w:val="Normal0"/>
        <w:spacing w:line="360" w:lineRule="auto"/>
      </w:pPr>
    </w:p>
    <w:p w14:paraId="00000093" w14:textId="77777777" w:rsidR="00663CDF" w:rsidRDefault="00F71B39">
      <w:pPr>
        <w:pStyle w:val="Normal0"/>
        <w:spacing w:line="360" w:lineRule="auto"/>
      </w:pPr>
      <w:r>
        <w:t>Al mismo tiempo, se hará un análisis para identificar que tanto ha incidido las políticas ejecutadas con relación al progreso social de los habitantes del municipio y como estos se han sentido identificados con las políticas, en aras de obtener conclusiones y recomendaciones para la mejora de las mismas. Recapitulando, este trabajo pretende contribuir para investigaciones futuras sobre como la descentralización y categorización en municipios con características similares a las de Turbaco; logran incidir directamente sobre el desarrollo social, territorial, económico político de las regiones.</w:t>
      </w:r>
    </w:p>
    <w:p w14:paraId="00000094" w14:textId="77777777" w:rsidR="00663CDF" w:rsidRDefault="00663CDF">
      <w:pPr>
        <w:pStyle w:val="Normal0"/>
        <w:spacing w:line="360" w:lineRule="auto"/>
      </w:pPr>
    </w:p>
    <w:p w14:paraId="00000095" w14:textId="77777777" w:rsidR="00663CDF" w:rsidRDefault="00F71B39">
      <w:pPr>
        <w:pStyle w:val="Normal0"/>
        <w:spacing w:line="360" w:lineRule="auto"/>
      </w:pPr>
      <w:r>
        <w:rPr>
          <w:b/>
        </w:rPr>
        <w:t>Palabras clave:</w:t>
      </w:r>
      <w:r>
        <w:t xml:space="preserve"> </w:t>
      </w:r>
      <w:r>
        <w:rPr>
          <w:i/>
        </w:rPr>
        <w:t>Descentralización; Categorización Municipal; Desarrollo Social; Gestión Pública</w:t>
      </w:r>
    </w:p>
    <w:p w14:paraId="00000096" w14:textId="77777777" w:rsidR="00663CDF" w:rsidRDefault="00663CDF">
      <w:pPr>
        <w:pStyle w:val="Normal0"/>
        <w:spacing w:line="360" w:lineRule="auto"/>
      </w:pPr>
    </w:p>
    <w:p w14:paraId="00000097" w14:textId="77777777" w:rsidR="00663CDF" w:rsidRDefault="00663CDF">
      <w:pPr>
        <w:pStyle w:val="Normal0"/>
        <w:spacing w:line="360" w:lineRule="auto"/>
      </w:pPr>
    </w:p>
    <w:p w14:paraId="00000098" w14:textId="77777777" w:rsidR="00663CDF" w:rsidRDefault="00F71B39">
      <w:pPr>
        <w:pStyle w:val="Normal0"/>
        <w:spacing w:line="360" w:lineRule="auto"/>
      </w:pPr>
      <w:r>
        <w:br w:type="page"/>
      </w:r>
    </w:p>
    <w:p w14:paraId="00000099" w14:textId="77777777" w:rsidR="00663CDF" w:rsidRDefault="00F71B39">
      <w:pPr>
        <w:pStyle w:val="Normal0"/>
        <w:spacing w:line="360" w:lineRule="auto"/>
      </w:pPr>
      <w:r>
        <w:rPr>
          <w:b/>
        </w:rPr>
        <w:lastRenderedPageBreak/>
        <w:t>ABSTRACT</w:t>
      </w:r>
    </w:p>
    <w:p w14:paraId="0000009A" w14:textId="77777777" w:rsidR="00663CDF" w:rsidRDefault="00663CDF">
      <w:pPr>
        <w:pStyle w:val="Normal0"/>
        <w:spacing w:line="360" w:lineRule="auto"/>
      </w:pPr>
    </w:p>
    <w:p w14:paraId="0000009B" w14:textId="77777777" w:rsidR="00663CDF" w:rsidRDefault="00F71B39">
      <w:pPr>
        <w:pStyle w:val="Normal0"/>
        <w:spacing w:line="360" w:lineRule="auto"/>
      </w:pPr>
      <w:r>
        <w:t xml:space="preserve">The present research focuses on analyzing how the administrative and financial management of the municipality of Turbaco-Bolívar, particularly in relation to categorization and decentralization, has influenced the social development of the municipality. The aim is to identify how public management practices directly impact the well-being of citizens.  </w:t>
      </w:r>
    </w:p>
    <w:p w14:paraId="0000009C" w14:textId="77777777" w:rsidR="00663CDF" w:rsidRDefault="00663CDF">
      <w:pPr>
        <w:pStyle w:val="Normal0"/>
        <w:spacing w:line="360" w:lineRule="auto"/>
      </w:pPr>
    </w:p>
    <w:p w14:paraId="0000009D" w14:textId="77777777" w:rsidR="00663CDF" w:rsidRDefault="00F71B39">
      <w:pPr>
        <w:pStyle w:val="Normal0"/>
        <w:spacing w:line="360" w:lineRule="auto"/>
      </w:pPr>
      <w:r>
        <w:t>To develop the thesis, a documentary review will be conducted on the plans, programs, and actions implemented by the administration concerning the decentralization and categorization of the municipality, in accordance with the law and the themes related to the problem. This aims to highlight the importance of administrative and fiscal management, as well as their critical role in the development of a municipality. In general, this research will have a duration of twelve (12) months.</w:t>
      </w:r>
    </w:p>
    <w:p w14:paraId="0000009E" w14:textId="77777777" w:rsidR="00663CDF" w:rsidRDefault="00663CDF">
      <w:pPr>
        <w:pStyle w:val="Normal0"/>
        <w:spacing w:line="360" w:lineRule="auto"/>
      </w:pPr>
    </w:p>
    <w:p w14:paraId="0000009F" w14:textId="77777777" w:rsidR="00663CDF" w:rsidRDefault="00F71B39">
      <w:pPr>
        <w:pStyle w:val="Normal0"/>
        <w:spacing w:line="360" w:lineRule="auto"/>
      </w:pPr>
      <w:r>
        <w:t>Additionally, an analysis will be conducted to determine the extent to which the policies implemented have influenced the social development of the municipality's residents and how much these residents identify with these policies. The goal is to obtain accurate conclusions and provide recommendations for improvement. Furthermore, the study aims to contribute to future research on decentralization and categorization in municipalities with similar characteristics to Turbaco, allowing for an in-depth analysis of how these variables directly impact territorial development.</w:t>
      </w:r>
    </w:p>
    <w:p w14:paraId="000000A0" w14:textId="77777777" w:rsidR="00663CDF" w:rsidRDefault="00663CDF">
      <w:pPr>
        <w:pStyle w:val="Normal0"/>
        <w:spacing w:line="360" w:lineRule="auto"/>
      </w:pPr>
    </w:p>
    <w:p w14:paraId="000000A1" w14:textId="77777777" w:rsidR="00663CDF" w:rsidRDefault="00F71B39">
      <w:pPr>
        <w:pStyle w:val="Normal0"/>
        <w:spacing w:line="360" w:lineRule="auto"/>
        <w:rPr>
          <w:i/>
        </w:rPr>
      </w:pPr>
      <w:r>
        <w:rPr>
          <w:b/>
        </w:rPr>
        <w:t>KEYWORDS:</w:t>
      </w:r>
      <w:r>
        <w:t xml:space="preserve"> </w:t>
      </w:r>
      <w:r>
        <w:rPr>
          <w:i/>
        </w:rPr>
        <w:t>Decentralization; Municipal Categorization; Social Development; Public Management</w:t>
      </w:r>
    </w:p>
    <w:p w14:paraId="000000A2" w14:textId="77777777" w:rsidR="00663CDF" w:rsidRDefault="00F71B39">
      <w:pPr>
        <w:pStyle w:val="Normal0"/>
        <w:spacing w:line="360" w:lineRule="auto"/>
        <w:rPr>
          <w:i/>
        </w:rPr>
      </w:pPr>
      <w:r>
        <w:br w:type="page"/>
      </w:r>
    </w:p>
    <w:p w14:paraId="000000A3" w14:textId="77777777" w:rsidR="00663CDF" w:rsidRDefault="00F71B39">
      <w:pPr>
        <w:pStyle w:val="Normal0"/>
        <w:keepNext/>
        <w:keepLines/>
        <w:pBdr>
          <w:top w:val="nil"/>
          <w:left w:val="nil"/>
          <w:bottom w:val="nil"/>
          <w:right w:val="nil"/>
          <w:between w:val="nil"/>
        </w:pBdr>
        <w:spacing w:before="240" w:line="360" w:lineRule="auto"/>
        <w:jc w:val="center"/>
        <w:rPr>
          <w:b/>
          <w:color w:val="000000"/>
        </w:rPr>
      </w:pPr>
      <w:r>
        <w:rPr>
          <w:b/>
          <w:color w:val="000000"/>
        </w:rPr>
        <w:lastRenderedPageBreak/>
        <w:t>TABLA DE CONTENIDO</w:t>
      </w:r>
    </w:p>
    <w:sdt>
      <w:sdtPr>
        <w:id w:val="1744255810"/>
        <w:docPartObj>
          <w:docPartGallery w:val="Table of Contents"/>
          <w:docPartUnique/>
        </w:docPartObj>
      </w:sdtPr>
      <w:sdtEndPr/>
      <w:sdtContent>
        <w:p w14:paraId="000000A4" w14:textId="77777777" w:rsidR="00663CDF" w:rsidRDefault="00F71B39">
          <w:pPr>
            <w:pStyle w:val="Normal0"/>
            <w:pBdr>
              <w:top w:val="nil"/>
              <w:left w:val="nil"/>
              <w:bottom w:val="nil"/>
              <w:right w:val="nil"/>
              <w:between w:val="nil"/>
            </w:pBdr>
            <w:tabs>
              <w:tab w:val="left" w:pos="720"/>
              <w:tab w:val="right" w:pos="8828"/>
            </w:tabs>
            <w:spacing w:after="100"/>
            <w:rPr>
              <w:rFonts w:ascii="Calibri" w:eastAsia="Calibri" w:hAnsi="Calibri" w:cs="Calibri"/>
              <w:color w:val="000000"/>
            </w:rPr>
          </w:pPr>
          <w:r>
            <w:fldChar w:fldCharType="begin"/>
          </w:r>
          <w:r>
            <w:instrText xml:space="preserve"> TOC \h \u \z \t "Heading 1,1,Heading 2,2,Heading 3,3,"</w:instrText>
          </w:r>
          <w:r>
            <w:fldChar w:fldCharType="separate"/>
          </w:r>
          <w:hyperlink w:anchor="_heading=h.ewccrw1i780y">
            <w:r>
              <w:rPr>
                <w:color w:val="000000"/>
              </w:rPr>
              <w:t>1.</w:t>
            </w:r>
          </w:hyperlink>
          <w:hyperlink w:anchor="_heading=h.ewccrw1i780y">
            <w:r>
              <w:rPr>
                <w:rFonts w:ascii="Calibri" w:eastAsia="Calibri" w:hAnsi="Calibri" w:cs="Calibri"/>
                <w:color w:val="000000"/>
              </w:rPr>
              <w:tab/>
            </w:r>
          </w:hyperlink>
          <w:r>
            <w:fldChar w:fldCharType="begin"/>
          </w:r>
          <w:r>
            <w:instrText xml:space="preserve"> PAGEREF _heading=h.ewccrw1i780y \h </w:instrText>
          </w:r>
          <w:r>
            <w:fldChar w:fldCharType="separate"/>
          </w:r>
          <w:r>
            <w:rPr>
              <w:color w:val="000000"/>
            </w:rPr>
            <w:t>ANTEPROYECTO</w:t>
          </w:r>
          <w:r>
            <w:rPr>
              <w:color w:val="000000"/>
            </w:rPr>
            <w:tab/>
            <w:t>18</w:t>
          </w:r>
          <w:r>
            <w:fldChar w:fldCharType="end"/>
          </w:r>
        </w:p>
        <w:p w14:paraId="000000A5"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2fyzicrwsoz2">
            <w:r w:rsidR="00F71B39">
              <w:rPr>
                <w:color w:val="000000"/>
              </w:rPr>
              <w:t>1.1.</w:t>
            </w:r>
          </w:hyperlink>
          <w:hyperlink w:anchor="_heading=h.2fyzicrwsoz2">
            <w:r w:rsidR="00F71B39">
              <w:rPr>
                <w:rFonts w:ascii="Calibri" w:eastAsia="Calibri" w:hAnsi="Calibri" w:cs="Calibri"/>
                <w:color w:val="000000"/>
              </w:rPr>
              <w:tab/>
            </w:r>
          </w:hyperlink>
          <w:r w:rsidR="00F71B39">
            <w:fldChar w:fldCharType="begin"/>
          </w:r>
          <w:r w:rsidR="00F71B39">
            <w:instrText xml:space="preserve"> PAGEREF _heading=h.2fyzicrwsoz2 \h </w:instrText>
          </w:r>
          <w:r w:rsidR="00F71B39">
            <w:fldChar w:fldCharType="separate"/>
          </w:r>
          <w:r w:rsidR="00F71B39">
            <w:rPr>
              <w:color w:val="000000"/>
            </w:rPr>
            <w:t>PLANTEAMIENTO DEL PROBLEMA</w:t>
          </w:r>
          <w:r w:rsidR="00F71B39">
            <w:rPr>
              <w:color w:val="000000"/>
            </w:rPr>
            <w:tab/>
            <w:t>18</w:t>
          </w:r>
          <w:r w:rsidR="00F71B39">
            <w:fldChar w:fldCharType="end"/>
          </w:r>
        </w:p>
        <w:p w14:paraId="000000A6"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aypvmbp6n75y">
            <w:r w:rsidR="00F71B39">
              <w:rPr>
                <w:color w:val="000000"/>
              </w:rPr>
              <w:t>1.1.1.</w:t>
            </w:r>
          </w:hyperlink>
          <w:hyperlink w:anchor="_heading=h.aypvmbp6n75y">
            <w:r w:rsidR="00F71B39">
              <w:rPr>
                <w:rFonts w:ascii="Calibri" w:eastAsia="Calibri" w:hAnsi="Calibri" w:cs="Calibri"/>
                <w:color w:val="000000"/>
              </w:rPr>
              <w:tab/>
            </w:r>
          </w:hyperlink>
          <w:r w:rsidR="00F71B39">
            <w:fldChar w:fldCharType="begin"/>
          </w:r>
          <w:r w:rsidR="00F71B39">
            <w:instrText xml:space="preserve"> PAGEREF _heading=h.aypvmbp6n75y \h </w:instrText>
          </w:r>
          <w:r w:rsidR="00F71B39">
            <w:fldChar w:fldCharType="separate"/>
          </w:r>
          <w:r w:rsidR="00F71B39">
            <w:rPr>
              <w:color w:val="000000"/>
            </w:rPr>
            <w:t>Descripción del problema</w:t>
          </w:r>
          <w:r w:rsidR="00F71B39">
            <w:rPr>
              <w:color w:val="000000"/>
            </w:rPr>
            <w:tab/>
            <w:t>18</w:t>
          </w:r>
          <w:r w:rsidR="00F71B39">
            <w:fldChar w:fldCharType="end"/>
          </w:r>
        </w:p>
        <w:p w14:paraId="000000A7"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8rajxsfga1ed">
            <w:r w:rsidR="00F71B39">
              <w:rPr>
                <w:color w:val="000000"/>
              </w:rPr>
              <w:t>1.1.2. Formulación del Problema</w:t>
            </w:r>
            <w:r w:rsidR="00F71B39">
              <w:rPr>
                <w:color w:val="000000"/>
              </w:rPr>
              <w:tab/>
              <w:t>24</w:t>
            </w:r>
          </w:hyperlink>
        </w:p>
        <w:p w14:paraId="000000A8"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ntpex8dm202g">
            <w:r w:rsidR="00F71B39">
              <w:rPr>
                <w:color w:val="000000"/>
              </w:rPr>
              <w:t>1.2.</w:t>
            </w:r>
          </w:hyperlink>
          <w:hyperlink w:anchor="_heading=h.ntpex8dm202g">
            <w:r w:rsidR="00F71B39">
              <w:rPr>
                <w:rFonts w:ascii="Calibri" w:eastAsia="Calibri" w:hAnsi="Calibri" w:cs="Calibri"/>
                <w:color w:val="000000"/>
              </w:rPr>
              <w:tab/>
            </w:r>
          </w:hyperlink>
          <w:r w:rsidR="00F71B39">
            <w:fldChar w:fldCharType="begin"/>
          </w:r>
          <w:r w:rsidR="00F71B39">
            <w:instrText xml:space="preserve"> PAGEREF _heading=h.ntpex8dm202g \h </w:instrText>
          </w:r>
          <w:r w:rsidR="00F71B39">
            <w:fldChar w:fldCharType="separate"/>
          </w:r>
          <w:r w:rsidR="00F71B39">
            <w:rPr>
              <w:color w:val="000000"/>
            </w:rPr>
            <w:t>JUSTIFICACIÓN</w:t>
          </w:r>
          <w:r w:rsidR="00F71B39">
            <w:rPr>
              <w:color w:val="000000"/>
            </w:rPr>
            <w:tab/>
            <w:t>24</w:t>
          </w:r>
          <w:r w:rsidR="00F71B39">
            <w:fldChar w:fldCharType="end"/>
          </w:r>
        </w:p>
        <w:p w14:paraId="000000A9"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4k6dpprqdpzu">
            <w:r w:rsidR="00F71B39">
              <w:rPr>
                <w:color w:val="000000"/>
              </w:rPr>
              <w:t>1.3.</w:t>
            </w:r>
          </w:hyperlink>
          <w:hyperlink w:anchor="_heading=h.4k6dpprqdpzu">
            <w:r w:rsidR="00F71B39">
              <w:rPr>
                <w:rFonts w:ascii="Calibri" w:eastAsia="Calibri" w:hAnsi="Calibri" w:cs="Calibri"/>
                <w:color w:val="000000"/>
              </w:rPr>
              <w:tab/>
            </w:r>
          </w:hyperlink>
          <w:r w:rsidR="00F71B39">
            <w:fldChar w:fldCharType="begin"/>
          </w:r>
          <w:r w:rsidR="00F71B39">
            <w:instrText xml:space="preserve"> PAGEREF _heading=h.4k6dpprqdpzu \h </w:instrText>
          </w:r>
          <w:r w:rsidR="00F71B39">
            <w:fldChar w:fldCharType="separate"/>
          </w:r>
          <w:r w:rsidR="00F71B39">
            <w:rPr>
              <w:color w:val="000000"/>
            </w:rPr>
            <w:t>OBJETIVOS</w:t>
          </w:r>
          <w:r w:rsidR="00F71B39">
            <w:rPr>
              <w:color w:val="000000"/>
            </w:rPr>
            <w:tab/>
            <w:t>27</w:t>
          </w:r>
          <w:r w:rsidR="00F71B39">
            <w:fldChar w:fldCharType="end"/>
          </w:r>
        </w:p>
        <w:p w14:paraId="000000AA"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uwfdaaeil5j3">
            <w:r w:rsidR="00F71B39">
              <w:rPr>
                <w:color w:val="000000"/>
              </w:rPr>
              <w:t>1.3.1.</w:t>
            </w:r>
          </w:hyperlink>
          <w:hyperlink w:anchor="_heading=h.uwfdaaeil5j3">
            <w:r w:rsidR="00F71B39">
              <w:rPr>
                <w:rFonts w:ascii="Calibri" w:eastAsia="Calibri" w:hAnsi="Calibri" w:cs="Calibri"/>
                <w:color w:val="000000"/>
              </w:rPr>
              <w:tab/>
            </w:r>
          </w:hyperlink>
          <w:r w:rsidR="00F71B39">
            <w:fldChar w:fldCharType="begin"/>
          </w:r>
          <w:r w:rsidR="00F71B39">
            <w:instrText xml:space="preserve"> PAGEREF _heading=h.uwfdaaeil5j3 \h </w:instrText>
          </w:r>
          <w:r w:rsidR="00F71B39">
            <w:fldChar w:fldCharType="separate"/>
          </w:r>
          <w:r w:rsidR="00F71B39">
            <w:rPr>
              <w:color w:val="000000"/>
            </w:rPr>
            <w:t>Objetivo General</w:t>
          </w:r>
          <w:r w:rsidR="00F71B39">
            <w:rPr>
              <w:color w:val="000000"/>
            </w:rPr>
            <w:tab/>
            <w:t>27</w:t>
          </w:r>
          <w:r w:rsidR="00F71B39">
            <w:fldChar w:fldCharType="end"/>
          </w:r>
        </w:p>
        <w:p w14:paraId="000000AB"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ihhso7cqthny">
            <w:r w:rsidR="00F71B39">
              <w:rPr>
                <w:color w:val="000000"/>
              </w:rPr>
              <w:t>1.3.2.</w:t>
            </w:r>
          </w:hyperlink>
          <w:hyperlink w:anchor="_heading=h.ihhso7cqthny">
            <w:r w:rsidR="00F71B39">
              <w:rPr>
                <w:rFonts w:ascii="Calibri" w:eastAsia="Calibri" w:hAnsi="Calibri" w:cs="Calibri"/>
                <w:color w:val="000000"/>
              </w:rPr>
              <w:tab/>
            </w:r>
          </w:hyperlink>
          <w:r w:rsidR="00F71B39">
            <w:fldChar w:fldCharType="begin"/>
          </w:r>
          <w:r w:rsidR="00F71B39">
            <w:instrText xml:space="preserve"> PAGEREF _heading=h.ihhso7cqthny \h </w:instrText>
          </w:r>
          <w:r w:rsidR="00F71B39">
            <w:fldChar w:fldCharType="separate"/>
          </w:r>
          <w:r w:rsidR="00F71B39">
            <w:rPr>
              <w:color w:val="000000"/>
            </w:rPr>
            <w:t>Objetivos Específicos</w:t>
          </w:r>
          <w:r w:rsidR="00F71B39">
            <w:rPr>
              <w:color w:val="000000"/>
            </w:rPr>
            <w:tab/>
            <w:t>27</w:t>
          </w:r>
          <w:r w:rsidR="00F71B39">
            <w:fldChar w:fldCharType="end"/>
          </w:r>
        </w:p>
        <w:p w14:paraId="000000AC"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gyq3mxlxt6tu">
            <w:r w:rsidR="00F71B39">
              <w:rPr>
                <w:color w:val="000000"/>
              </w:rPr>
              <w:t>1.4.</w:t>
            </w:r>
          </w:hyperlink>
          <w:hyperlink w:anchor="_heading=h.gyq3mxlxt6tu">
            <w:r w:rsidR="00F71B39">
              <w:rPr>
                <w:rFonts w:ascii="Calibri" w:eastAsia="Calibri" w:hAnsi="Calibri" w:cs="Calibri"/>
                <w:color w:val="000000"/>
              </w:rPr>
              <w:tab/>
            </w:r>
          </w:hyperlink>
          <w:r w:rsidR="00F71B39">
            <w:fldChar w:fldCharType="begin"/>
          </w:r>
          <w:r w:rsidR="00F71B39">
            <w:instrText xml:space="preserve"> PAGEREF _heading=h.gyq3mxlxt6tu \h </w:instrText>
          </w:r>
          <w:r w:rsidR="00F71B39">
            <w:fldChar w:fldCharType="separate"/>
          </w:r>
          <w:r w:rsidR="00F71B39">
            <w:rPr>
              <w:color w:val="000000"/>
            </w:rPr>
            <w:t>METODOLOGÍA</w:t>
          </w:r>
          <w:r w:rsidR="00F71B39">
            <w:rPr>
              <w:color w:val="000000"/>
            </w:rPr>
            <w:tab/>
            <w:t>28</w:t>
          </w:r>
          <w:r w:rsidR="00F71B39">
            <w:fldChar w:fldCharType="end"/>
          </w:r>
        </w:p>
        <w:p w14:paraId="000000AD"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mqu808jnvsv0">
            <w:r w:rsidR="00F71B39">
              <w:rPr>
                <w:color w:val="000000"/>
              </w:rPr>
              <w:t>1.4.1.</w:t>
            </w:r>
          </w:hyperlink>
          <w:hyperlink w:anchor="_heading=h.mqu808jnvsv0">
            <w:r w:rsidR="00F71B39">
              <w:rPr>
                <w:rFonts w:ascii="Calibri" w:eastAsia="Calibri" w:hAnsi="Calibri" w:cs="Calibri"/>
                <w:color w:val="000000"/>
              </w:rPr>
              <w:tab/>
            </w:r>
          </w:hyperlink>
          <w:r w:rsidR="00F71B39">
            <w:fldChar w:fldCharType="begin"/>
          </w:r>
          <w:r w:rsidR="00F71B39">
            <w:instrText xml:space="preserve"> PAGEREF _heading=h.mqu808jnvsv0 \h </w:instrText>
          </w:r>
          <w:r w:rsidR="00F71B39">
            <w:fldChar w:fldCharType="separate"/>
          </w:r>
          <w:r w:rsidR="00F71B39">
            <w:rPr>
              <w:color w:val="000000"/>
            </w:rPr>
            <w:t>Delimitación del problema</w:t>
          </w:r>
          <w:r w:rsidR="00F71B39">
            <w:rPr>
              <w:color w:val="000000"/>
            </w:rPr>
            <w:tab/>
            <w:t>28</w:t>
          </w:r>
          <w:r w:rsidR="00F71B39">
            <w:fldChar w:fldCharType="end"/>
          </w:r>
        </w:p>
        <w:p w14:paraId="000000AE"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2l6yfno0l1wu">
            <w:r w:rsidR="00F71B39">
              <w:rPr>
                <w:color w:val="000000"/>
              </w:rPr>
              <w:t>1.4.2.</w:t>
            </w:r>
          </w:hyperlink>
          <w:hyperlink w:anchor="_heading=h.2l6yfno0l1wu">
            <w:r w:rsidR="00F71B39">
              <w:rPr>
                <w:rFonts w:ascii="Calibri" w:eastAsia="Calibri" w:hAnsi="Calibri" w:cs="Calibri"/>
                <w:color w:val="000000"/>
              </w:rPr>
              <w:tab/>
            </w:r>
          </w:hyperlink>
          <w:r w:rsidR="00F71B39">
            <w:fldChar w:fldCharType="begin"/>
          </w:r>
          <w:r w:rsidR="00F71B39">
            <w:instrText xml:space="preserve"> PAGEREF _heading=h.2l6yfno0l1wu \h </w:instrText>
          </w:r>
          <w:r w:rsidR="00F71B39">
            <w:fldChar w:fldCharType="separate"/>
          </w:r>
          <w:r w:rsidR="00F71B39">
            <w:rPr>
              <w:color w:val="000000"/>
            </w:rPr>
            <w:t>Tipo de investigación</w:t>
          </w:r>
          <w:r w:rsidR="00F71B39">
            <w:rPr>
              <w:color w:val="000000"/>
            </w:rPr>
            <w:tab/>
            <w:t>28</w:t>
          </w:r>
          <w:r w:rsidR="00F71B39">
            <w:fldChar w:fldCharType="end"/>
          </w:r>
        </w:p>
        <w:p w14:paraId="000000AF"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sl3e64mp4t58">
            <w:r w:rsidR="00F71B39">
              <w:rPr>
                <w:color w:val="000000"/>
              </w:rPr>
              <w:t>1.4.3.</w:t>
            </w:r>
          </w:hyperlink>
          <w:hyperlink w:anchor="_heading=h.sl3e64mp4t58">
            <w:r w:rsidR="00F71B39">
              <w:rPr>
                <w:rFonts w:ascii="Calibri" w:eastAsia="Calibri" w:hAnsi="Calibri" w:cs="Calibri"/>
                <w:color w:val="000000"/>
              </w:rPr>
              <w:tab/>
            </w:r>
          </w:hyperlink>
          <w:r w:rsidR="00F71B39">
            <w:fldChar w:fldCharType="begin"/>
          </w:r>
          <w:r w:rsidR="00F71B39">
            <w:instrText xml:space="preserve"> PAGEREF _heading=h.sl3e64mp4t58 \h </w:instrText>
          </w:r>
          <w:r w:rsidR="00F71B39">
            <w:fldChar w:fldCharType="separate"/>
          </w:r>
          <w:r w:rsidR="00F71B39">
            <w:rPr>
              <w:color w:val="000000"/>
            </w:rPr>
            <w:t>Fuentes de recolección de datos</w:t>
          </w:r>
          <w:r w:rsidR="00F71B39">
            <w:rPr>
              <w:color w:val="000000"/>
            </w:rPr>
            <w:tab/>
            <w:t>30</w:t>
          </w:r>
          <w:r w:rsidR="00F71B39">
            <w:fldChar w:fldCharType="end"/>
          </w:r>
        </w:p>
        <w:p w14:paraId="000000B0"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r6w4qbfp65pp">
            <w:r w:rsidR="00F71B39">
              <w:rPr>
                <w:color w:val="000000"/>
              </w:rPr>
              <w:t>1.4.4.</w:t>
            </w:r>
          </w:hyperlink>
          <w:hyperlink w:anchor="_heading=h.r6w4qbfp65pp">
            <w:r w:rsidR="00F71B39">
              <w:rPr>
                <w:rFonts w:ascii="Calibri" w:eastAsia="Calibri" w:hAnsi="Calibri" w:cs="Calibri"/>
                <w:color w:val="000000"/>
              </w:rPr>
              <w:tab/>
            </w:r>
          </w:hyperlink>
          <w:r w:rsidR="00F71B39">
            <w:fldChar w:fldCharType="begin"/>
          </w:r>
          <w:r w:rsidR="00F71B39">
            <w:instrText xml:space="preserve"> PAGEREF _heading=h.r6w4qbfp65pp \h </w:instrText>
          </w:r>
          <w:r w:rsidR="00F71B39">
            <w:fldChar w:fldCharType="separate"/>
          </w:r>
          <w:r w:rsidR="00F71B39">
            <w:rPr>
              <w:color w:val="000000"/>
            </w:rPr>
            <w:t>Procedimientos para el análisis de los datos</w:t>
          </w:r>
          <w:r w:rsidR="00F71B39">
            <w:rPr>
              <w:color w:val="000000"/>
            </w:rPr>
            <w:tab/>
            <w:t>30</w:t>
          </w:r>
          <w:r w:rsidR="00F71B39">
            <w:fldChar w:fldCharType="end"/>
          </w:r>
        </w:p>
        <w:p w14:paraId="000000B1"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ts0nfisea2m5">
            <w:r w:rsidR="00F71B39">
              <w:rPr>
                <w:color w:val="000000"/>
              </w:rPr>
              <w:t>1.4.5.</w:t>
            </w:r>
          </w:hyperlink>
          <w:hyperlink w:anchor="_heading=h.ts0nfisea2m5">
            <w:r w:rsidR="00F71B39">
              <w:rPr>
                <w:rFonts w:ascii="Calibri" w:eastAsia="Calibri" w:hAnsi="Calibri" w:cs="Calibri"/>
                <w:color w:val="000000"/>
              </w:rPr>
              <w:tab/>
            </w:r>
          </w:hyperlink>
          <w:r w:rsidR="00F71B39">
            <w:fldChar w:fldCharType="begin"/>
          </w:r>
          <w:r w:rsidR="00F71B39">
            <w:instrText xml:space="preserve"> PAGEREF _heading=h.ts0nfisea2m5 \h </w:instrText>
          </w:r>
          <w:r w:rsidR="00F71B39">
            <w:fldChar w:fldCharType="separate"/>
          </w:r>
          <w:r w:rsidR="00F71B39">
            <w:rPr>
              <w:color w:val="000000"/>
            </w:rPr>
            <w:t>Alcances y limitaciones</w:t>
          </w:r>
          <w:r w:rsidR="00F71B39">
            <w:rPr>
              <w:color w:val="000000"/>
            </w:rPr>
            <w:tab/>
            <w:t>32</w:t>
          </w:r>
          <w:r w:rsidR="00F71B39">
            <w:fldChar w:fldCharType="end"/>
          </w:r>
        </w:p>
        <w:p w14:paraId="000000B2"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9h7v5mgll5ei">
            <w:r w:rsidR="00F71B39">
              <w:rPr>
                <w:color w:val="000000"/>
              </w:rPr>
              <w:t>1.4.6.</w:t>
            </w:r>
          </w:hyperlink>
          <w:hyperlink w:anchor="_heading=h.9h7v5mgll5ei">
            <w:r w:rsidR="00F71B39">
              <w:rPr>
                <w:rFonts w:ascii="Calibri" w:eastAsia="Calibri" w:hAnsi="Calibri" w:cs="Calibri"/>
                <w:color w:val="000000"/>
              </w:rPr>
              <w:tab/>
            </w:r>
          </w:hyperlink>
          <w:r w:rsidR="00F71B39">
            <w:fldChar w:fldCharType="begin"/>
          </w:r>
          <w:r w:rsidR="00F71B39">
            <w:instrText xml:space="preserve"> PAGEREF _heading=h.9h7v5mgll5ei \h </w:instrText>
          </w:r>
          <w:r w:rsidR="00F71B39">
            <w:fldChar w:fldCharType="separate"/>
          </w:r>
          <w:r w:rsidR="00F71B39">
            <w:rPr>
              <w:color w:val="000000"/>
            </w:rPr>
            <w:t>Operacionalización de variables</w:t>
          </w:r>
          <w:r w:rsidR="00F71B39">
            <w:rPr>
              <w:color w:val="000000"/>
            </w:rPr>
            <w:tab/>
            <w:t>33</w:t>
          </w:r>
          <w:r w:rsidR="00F71B39">
            <w:fldChar w:fldCharType="end"/>
          </w:r>
        </w:p>
        <w:p w14:paraId="000000B3" w14:textId="77777777" w:rsidR="00663CDF" w:rsidRDefault="00DA2EDD">
          <w:pPr>
            <w:pStyle w:val="Normal0"/>
            <w:pBdr>
              <w:top w:val="nil"/>
              <w:left w:val="nil"/>
              <w:bottom w:val="nil"/>
              <w:right w:val="nil"/>
              <w:between w:val="nil"/>
            </w:pBdr>
            <w:tabs>
              <w:tab w:val="left" w:pos="720"/>
              <w:tab w:val="right" w:pos="8828"/>
            </w:tabs>
            <w:spacing w:after="100"/>
            <w:rPr>
              <w:rFonts w:ascii="Calibri" w:eastAsia="Calibri" w:hAnsi="Calibri" w:cs="Calibri"/>
              <w:color w:val="000000"/>
            </w:rPr>
          </w:pPr>
          <w:hyperlink w:anchor="_heading=h.v0vyrr6ybhbs">
            <w:r w:rsidR="00F71B39">
              <w:rPr>
                <w:color w:val="000000"/>
              </w:rPr>
              <w:t>2.</w:t>
            </w:r>
          </w:hyperlink>
          <w:hyperlink w:anchor="_heading=h.v0vyrr6ybhbs">
            <w:r w:rsidR="00F71B39">
              <w:rPr>
                <w:rFonts w:ascii="Calibri" w:eastAsia="Calibri" w:hAnsi="Calibri" w:cs="Calibri"/>
                <w:color w:val="000000"/>
              </w:rPr>
              <w:tab/>
            </w:r>
          </w:hyperlink>
          <w:r w:rsidR="00F71B39">
            <w:fldChar w:fldCharType="begin"/>
          </w:r>
          <w:r w:rsidR="00F71B39">
            <w:instrText xml:space="preserve"> PAGEREF _heading=h.v0vyrr6ybhbs \h </w:instrText>
          </w:r>
          <w:r w:rsidR="00F71B39">
            <w:fldChar w:fldCharType="separate"/>
          </w:r>
          <w:r w:rsidR="00F71B39">
            <w:rPr>
              <w:color w:val="000000"/>
            </w:rPr>
            <w:t>MARCO REFERENCIAL</w:t>
          </w:r>
          <w:r w:rsidR="00F71B39">
            <w:rPr>
              <w:color w:val="000000"/>
            </w:rPr>
            <w:tab/>
            <w:t>34</w:t>
          </w:r>
          <w:r w:rsidR="00F71B39">
            <w:fldChar w:fldCharType="end"/>
          </w:r>
        </w:p>
        <w:p w14:paraId="000000B4"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at7ugyojnkgd">
            <w:r w:rsidR="00F71B39">
              <w:rPr>
                <w:color w:val="000000"/>
              </w:rPr>
              <w:t>2.1.</w:t>
            </w:r>
          </w:hyperlink>
          <w:hyperlink w:anchor="_heading=h.at7ugyojnkgd">
            <w:r w:rsidR="00F71B39">
              <w:rPr>
                <w:rFonts w:ascii="Calibri" w:eastAsia="Calibri" w:hAnsi="Calibri" w:cs="Calibri"/>
                <w:color w:val="000000"/>
              </w:rPr>
              <w:tab/>
            </w:r>
          </w:hyperlink>
          <w:r w:rsidR="00F71B39">
            <w:fldChar w:fldCharType="begin"/>
          </w:r>
          <w:r w:rsidR="00F71B39">
            <w:instrText xml:space="preserve"> PAGEREF _heading=h.at7ugyojnkgd \h </w:instrText>
          </w:r>
          <w:r w:rsidR="00F71B39">
            <w:fldChar w:fldCharType="separate"/>
          </w:r>
          <w:r w:rsidR="00F71B39">
            <w:rPr>
              <w:color w:val="000000"/>
            </w:rPr>
            <w:t>ANTECEDENTES</w:t>
          </w:r>
          <w:r w:rsidR="00F71B39">
            <w:rPr>
              <w:color w:val="000000"/>
            </w:rPr>
            <w:tab/>
            <w:t>34</w:t>
          </w:r>
          <w:r w:rsidR="00F71B39">
            <w:fldChar w:fldCharType="end"/>
          </w:r>
        </w:p>
        <w:p w14:paraId="000000B5"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z1dzm6q36szh">
            <w:r w:rsidR="00F71B39">
              <w:rPr>
                <w:color w:val="000000"/>
              </w:rPr>
              <w:t>2.2.</w:t>
            </w:r>
          </w:hyperlink>
          <w:hyperlink w:anchor="_heading=h.z1dzm6q36szh">
            <w:r w:rsidR="00F71B39">
              <w:rPr>
                <w:rFonts w:ascii="Calibri" w:eastAsia="Calibri" w:hAnsi="Calibri" w:cs="Calibri"/>
                <w:color w:val="000000"/>
              </w:rPr>
              <w:tab/>
            </w:r>
          </w:hyperlink>
          <w:r w:rsidR="00F71B39">
            <w:fldChar w:fldCharType="begin"/>
          </w:r>
          <w:r w:rsidR="00F71B39">
            <w:instrText xml:space="preserve"> PAGEREF _heading=h.z1dzm6q36szh \h </w:instrText>
          </w:r>
          <w:r w:rsidR="00F71B39">
            <w:fldChar w:fldCharType="separate"/>
          </w:r>
          <w:r w:rsidR="00F71B39">
            <w:rPr>
              <w:color w:val="000000"/>
            </w:rPr>
            <w:t>MARCO TEÓRICO</w:t>
          </w:r>
          <w:r w:rsidR="00F71B39">
            <w:rPr>
              <w:color w:val="000000"/>
            </w:rPr>
            <w:tab/>
            <w:t>37</w:t>
          </w:r>
          <w:r w:rsidR="00F71B39">
            <w:fldChar w:fldCharType="end"/>
          </w:r>
        </w:p>
        <w:p w14:paraId="000000B6"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r1itd77ctd2x">
            <w:r w:rsidR="00F71B39">
              <w:rPr>
                <w:color w:val="000000"/>
              </w:rPr>
              <w:t>2.2.1. Descentralización</w:t>
            </w:r>
            <w:r w:rsidR="00F71B39">
              <w:rPr>
                <w:color w:val="000000"/>
              </w:rPr>
              <w:tab/>
              <w:t>37</w:t>
            </w:r>
          </w:hyperlink>
        </w:p>
        <w:p w14:paraId="000000B7"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mhptet7j27fa">
            <w:r w:rsidR="00F71B39">
              <w:rPr>
                <w:color w:val="000000"/>
              </w:rPr>
              <w:t>2.2.2. Categorización municipal</w:t>
            </w:r>
            <w:r w:rsidR="00F71B39">
              <w:rPr>
                <w:color w:val="000000"/>
              </w:rPr>
              <w:tab/>
              <w:t>39</w:t>
            </w:r>
          </w:hyperlink>
        </w:p>
        <w:p w14:paraId="000000B8"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uw6j5pqvzzjf">
            <w:r w:rsidR="00F71B39">
              <w:rPr>
                <w:color w:val="000000"/>
              </w:rPr>
              <w:t>2.2.3. Gestión pública</w:t>
            </w:r>
            <w:r w:rsidR="00F71B39">
              <w:rPr>
                <w:color w:val="000000"/>
              </w:rPr>
              <w:tab/>
              <w:t>40</w:t>
            </w:r>
          </w:hyperlink>
        </w:p>
        <w:p w14:paraId="000000B9" w14:textId="77777777" w:rsidR="00663CDF" w:rsidRDefault="00DA2EDD">
          <w:pPr>
            <w:pStyle w:val="Normal0"/>
            <w:pBdr>
              <w:top w:val="nil"/>
              <w:left w:val="nil"/>
              <w:bottom w:val="nil"/>
              <w:right w:val="nil"/>
              <w:between w:val="nil"/>
            </w:pBdr>
            <w:tabs>
              <w:tab w:val="left" w:pos="960"/>
              <w:tab w:val="right" w:pos="8828"/>
            </w:tabs>
            <w:spacing w:after="100"/>
            <w:ind w:left="240"/>
            <w:rPr>
              <w:rFonts w:ascii="Calibri" w:eastAsia="Calibri" w:hAnsi="Calibri" w:cs="Calibri"/>
              <w:color w:val="000000"/>
            </w:rPr>
          </w:pPr>
          <w:hyperlink w:anchor="_heading=h.sf7rivto2o6a">
            <w:r w:rsidR="00F71B39">
              <w:rPr>
                <w:color w:val="000000"/>
              </w:rPr>
              <w:t>2.3.</w:t>
            </w:r>
          </w:hyperlink>
          <w:hyperlink w:anchor="_heading=h.sf7rivto2o6a">
            <w:r w:rsidR="00F71B39">
              <w:rPr>
                <w:rFonts w:ascii="Calibri" w:eastAsia="Calibri" w:hAnsi="Calibri" w:cs="Calibri"/>
                <w:color w:val="000000"/>
              </w:rPr>
              <w:tab/>
            </w:r>
          </w:hyperlink>
          <w:r w:rsidR="00F71B39">
            <w:fldChar w:fldCharType="begin"/>
          </w:r>
          <w:r w:rsidR="00F71B39">
            <w:instrText xml:space="preserve"> PAGEREF _heading=h.sf7rivto2o6a \h </w:instrText>
          </w:r>
          <w:r w:rsidR="00F71B39">
            <w:fldChar w:fldCharType="separate"/>
          </w:r>
          <w:r w:rsidR="00F71B39">
            <w:rPr>
              <w:color w:val="000000"/>
            </w:rPr>
            <w:t>MARCO CONCEPTUAL</w:t>
          </w:r>
          <w:r w:rsidR="00F71B39">
            <w:rPr>
              <w:color w:val="000000"/>
            </w:rPr>
            <w:tab/>
            <w:t>42</w:t>
          </w:r>
          <w:r w:rsidR="00F71B39">
            <w:fldChar w:fldCharType="end"/>
          </w:r>
        </w:p>
        <w:p w14:paraId="000000BA" w14:textId="77777777" w:rsidR="00663CDF" w:rsidRDefault="00DA2EDD">
          <w:pPr>
            <w:pStyle w:val="Normal0"/>
            <w:pBdr>
              <w:top w:val="nil"/>
              <w:left w:val="nil"/>
              <w:bottom w:val="nil"/>
              <w:right w:val="nil"/>
              <w:between w:val="nil"/>
            </w:pBdr>
            <w:tabs>
              <w:tab w:val="right" w:pos="8828"/>
            </w:tabs>
            <w:spacing w:after="100"/>
            <w:ind w:left="240"/>
            <w:rPr>
              <w:rFonts w:ascii="Calibri" w:eastAsia="Calibri" w:hAnsi="Calibri" w:cs="Calibri"/>
              <w:color w:val="000000"/>
            </w:rPr>
          </w:pPr>
          <w:hyperlink w:anchor="_heading=h.sci49356wnyd">
            <w:r w:rsidR="00F71B39">
              <w:rPr>
                <w:color w:val="000000"/>
              </w:rPr>
              <w:t>CAPÍTULO 3. ANÁLISIS DE LA GESTIÓN PÚBLICA EN EL MUNICIPIO DE TURBACO (2016-2023)</w:t>
            </w:r>
            <w:r w:rsidR="00F71B39">
              <w:rPr>
                <w:color w:val="000000"/>
              </w:rPr>
              <w:tab/>
              <w:t>44</w:t>
            </w:r>
          </w:hyperlink>
        </w:p>
        <w:p w14:paraId="000000BB"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69xtmurgs0ge">
            <w:r w:rsidR="00F71B39">
              <w:rPr>
                <w:color w:val="000000"/>
              </w:rPr>
              <w:t>3.1. GENERALIDADES</w:t>
            </w:r>
            <w:r w:rsidR="00F71B39">
              <w:rPr>
                <w:color w:val="000000"/>
              </w:rPr>
              <w:tab/>
              <w:t>44</w:t>
            </w:r>
          </w:hyperlink>
        </w:p>
        <w:p w14:paraId="000000BC"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g759yq3no8k7">
            <w:r w:rsidR="00F71B39">
              <w:rPr>
                <w:color w:val="000000"/>
              </w:rPr>
              <w:t>3.2. APARTADOS DEL CAPÍTULO</w:t>
            </w:r>
            <w:r w:rsidR="00F71B39">
              <w:rPr>
                <w:color w:val="000000"/>
              </w:rPr>
              <w:tab/>
              <w:t>44</w:t>
            </w:r>
          </w:hyperlink>
        </w:p>
        <w:p w14:paraId="000000BD" w14:textId="77777777" w:rsidR="00663CDF" w:rsidRDefault="00DA2EDD">
          <w:pPr>
            <w:pStyle w:val="Normal0"/>
            <w:pBdr>
              <w:top w:val="nil"/>
              <w:left w:val="nil"/>
              <w:bottom w:val="nil"/>
              <w:right w:val="nil"/>
              <w:between w:val="nil"/>
            </w:pBdr>
            <w:tabs>
              <w:tab w:val="right" w:pos="8828"/>
            </w:tabs>
            <w:spacing w:after="100"/>
            <w:ind w:left="240"/>
            <w:rPr>
              <w:rFonts w:ascii="Calibri" w:eastAsia="Calibri" w:hAnsi="Calibri" w:cs="Calibri"/>
              <w:color w:val="000000"/>
            </w:rPr>
          </w:pPr>
          <w:hyperlink w:anchor="_heading=h.ajru37el0jyz">
            <w:r w:rsidR="00F71B39">
              <w:rPr>
                <w:color w:val="000000"/>
              </w:rPr>
              <w:t>CAPÍTULO 4: GESTIÓN FINANCIERA Y ADMINISTRATIVA EN TURBACO (2016-2023)</w:t>
            </w:r>
            <w:r w:rsidR="00F71B39">
              <w:rPr>
                <w:color w:val="000000"/>
              </w:rPr>
              <w:tab/>
              <w:t>56</w:t>
            </w:r>
          </w:hyperlink>
        </w:p>
        <w:p w14:paraId="000000BE"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y9ciqxa2ln2u">
            <w:r w:rsidR="00F71B39">
              <w:rPr>
                <w:color w:val="000000"/>
              </w:rPr>
              <w:t>4.1. Incidencia de la categorización municipal en Turbaco (2016-2023)</w:t>
            </w:r>
            <w:r w:rsidR="00F71B39">
              <w:rPr>
                <w:color w:val="000000"/>
              </w:rPr>
              <w:tab/>
              <w:t>56</w:t>
            </w:r>
          </w:hyperlink>
        </w:p>
        <w:p w14:paraId="000000BF"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5h3ryxqz4ki6">
            <w:r w:rsidR="00F71B39">
              <w:rPr>
                <w:color w:val="000000"/>
              </w:rPr>
              <w:t>4.4. Gestión administrativa y financiera en Turbaco</w:t>
            </w:r>
            <w:r w:rsidR="00F71B39">
              <w:rPr>
                <w:color w:val="000000"/>
              </w:rPr>
              <w:tab/>
              <w:t>57</w:t>
            </w:r>
          </w:hyperlink>
        </w:p>
        <w:p w14:paraId="000000C0"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1lev8mx2aa0o">
            <w:r w:rsidR="00F71B39">
              <w:rPr>
                <w:color w:val="000000"/>
              </w:rPr>
              <w:t>4.5. Descentralización y desarrollo territorial</w:t>
            </w:r>
            <w:r w:rsidR="00F71B39">
              <w:rPr>
                <w:color w:val="000000"/>
              </w:rPr>
              <w:tab/>
              <w:t>58</w:t>
            </w:r>
          </w:hyperlink>
        </w:p>
        <w:p w14:paraId="000000C1"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23sukib6cjhx">
            <w:r w:rsidR="00F71B39">
              <w:rPr>
                <w:color w:val="000000"/>
              </w:rPr>
              <w:t>4.6. Cumplimiento del Artículo 6 de la Ley 617 de 2000 en el Municipio de Turbaco (2016-2023).</w:t>
            </w:r>
            <w:r w:rsidR="00F71B39">
              <w:rPr>
                <w:color w:val="000000"/>
              </w:rPr>
              <w:tab/>
              <w:t>58</w:t>
            </w:r>
          </w:hyperlink>
        </w:p>
        <w:p w14:paraId="000000C2"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88rp6fu4rec6">
            <w:r w:rsidR="00F71B39">
              <w:rPr>
                <w:color w:val="000000"/>
              </w:rPr>
              <w:t>4.7. Categorización del municipio de Turbaco y su Incidencia en la Gestión Pública.</w:t>
            </w:r>
            <w:r w:rsidR="00F71B39">
              <w:rPr>
                <w:color w:val="000000"/>
              </w:rPr>
              <w:tab/>
              <w:t>62</w:t>
            </w:r>
          </w:hyperlink>
        </w:p>
        <w:p w14:paraId="000000C3"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qfq4a769xmot">
            <w:r w:rsidR="00F71B39">
              <w:rPr>
                <w:color w:val="000000"/>
              </w:rPr>
              <w:t>4.7.1. Categorización en el periodo 2016-2019.</w:t>
            </w:r>
            <w:r w:rsidR="00F71B39">
              <w:rPr>
                <w:color w:val="000000"/>
              </w:rPr>
              <w:tab/>
              <w:t>64</w:t>
            </w:r>
          </w:hyperlink>
        </w:p>
        <w:p w14:paraId="000000C4"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hohb3kx0aye0">
            <w:r w:rsidR="00F71B39">
              <w:rPr>
                <w:color w:val="000000"/>
              </w:rPr>
              <w:t>4.7.2.</w:t>
            </w:r>
          </w:hyperlink>
          <w:hyperlink w:anchor="_heading=h.hohb3kx0aye0">
            <w:r w:rsidR="00F71B39">
              <w:rPr>
                <w:rFonts w:ascii="Calibri" w:eastAsia="Calibri" w:hAnsi="Calibri" w:cs="Calibri"/>
                <w:color w:val="000000"/>
              </w:rPr>
              <w:tab/>
            </w:r>
          </w:hyperlink>
          <w:r w:rsidR="00F71B39">
            <w:fldChar w:fldCharType="begin"/>
          </w:r>
          <w:r w:rsidR="00F71B39">
            <w:instrText xml:space="preserve"> PAGEREF _heading=h.hohb3kx0aye0 \h </w:instrText>
          </w:r>
          <w:r w:rsidR="00F71B39">
            <w:fldChar w:fldCharType="separate"/>
          </w:r>
          <w:r w:rsidR="00F71B39">
            <w:rPr>
              <w:color w:val="000000"/>
            </w:rPr>
            <w:t>Categorización en el periodo 2020-2023.</w:t>
          </w:r>
          <w:r w:rsidR="00F71B39">
            <w:rPr>
              <w:color w:val="000000"/>
            </w:rPr>
            <w:tab/>
            <w:t>66</w:t>
          </w:r>
          <w:r w:rsidR="00F71B39">
            <w:fldChar w:fldCharType="end"/>
          </w:r>
        </w:p>
        <w:p w14:paraId="000000C5"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xf0dkls4t85j">
            <w:r w:rsidR="00F71B39">
              <w:rPr>
                <w:color w:val="000000"/>
              </w:rPr>
              <w:t>4.8.</w:t>
            </w:r>
          </w:hyperlink>
          <w:hyperlink w:anchor="_heading=h.xf0dkls4t85j">
            <w:r w:rsidR="00F71B39">
              <w:rPr>
                <w:rFonts w:ascii="Calibri" w:eastAsia="Calibri" w:hAnsi="Calibri" w:cs="Calibri"/>
                <w:color w:val="000000"/>
              </w:rPr>
              <w:tab/>
            </w:r>
          </w:hyperlink>
          <w:r w:rsidR="00F71B39">
            <w:fldChar w:fldCharType="begin"/>
          </w:r>
          <w:r w:rsidR="00F71B39">
            <w:instrText xml:space="preserve"> PAGEREF _heading=h.xf0dkls4t85j \h </w:instrText>
          </w:r>
          <w:r w:rsidR="00F71B39">
            <w:fldChar w:fldCharType="separate"/>
          </w:r>
          <w:r w:rsidR="00F71B39">
            <w:rPr>
              <w:color w:val="000000"/>
            </w:rPr>
            <w:t>Variables en la Descentralización y Autonomía Local.</w:t>
          </w:r>
          <w:r w:rsidR="00F71B39">
            <w:rPr>
              <w:color w:val="000000"/>
            </w:rPr>
            <w:tab/>
            <w:t>67</w:t>
          </w:r>
          <w:r w:rsidR="00F71B39">
            <w:fldChar w:fldCharType="end"/>
          </w:r>
        </w:p>
        <w:p w14:paraId="000000C6"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c2pvqkrvbkvz">
            <w:r w:rsidR="00F71B39">
              <w:rPr>
                <w:color w:val="000000"/>
              </w:rPr>
              <w:t>4.9. Desempeño Fiscal de Turbaco (2016-2023).</w:t>
            </w:r>
            <w:r w:rsidR="00F71B39">
              <w:rPr>
                <w:color w:val="000000"/>
              </w:rPr>
              <w:tab/>
              <w:t>68</w:t>
            </w:r>
          </w:hyperlink>
        </w:p>
        <w:p w14:paraId="000000C7"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qafqaaq1v2ee">
            <w:r w:rsidR="00F71B39">
              <w:rPr>
                <w:color w:val="000000"/>
              </w:rPr>
              <w:t>.4.10. Distribución de los ICLD en el Gasto Social.</w:t>
            </w:r>
            <w:r w:rsidR="00F71B39">
              <w:rPr>
                <w:color w:val="000000"/>
              </w:rPr>
              <w:tab/>
              <w:t>71</w:t>
            </w:r>
          </w:hyperlink>
        </w:p>
        <w:p w14:paraId="000000C8"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irx9hfqjqfo9">
            <w:r w:rsidR="00F71B39">
              <w:rPr>
                <w:color w:val="000000"/>
              </w:rPr>
              <w:t>4.11. Análisis del índice de necesidades básicas satisfechas (NBS) e insatisfechas (NBI).</w:t>
            </w:r>
            <w:r w:rsidR="00F71B39">
              <w:rPr>
                <w:color w:val="000000"/>
              </w:rPr>
              <w:tab/>
              <w:t>75</w:t>
            </w:r>
          </w:hyperlink>
        </w:p>
        <w:p w14:paraId="000000C9"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q0ro8vvvcjlp">
            <w:r w:rsidR="00F71B39">
              <w:rPr>
                <w:color w:val="000000"/>
              </w:rPr>
              <w:t>4.12. Comparación del NBS del municipio de Turbaco y el municipio de Arjona (2016-2023).</w:t>
            </w:r>
            <w:r w:rsidR="00F71B39">
              <w:rPr>
                <w:color w:val="000000"/>
              </w:rPr>
              <w:tab/>
              <w:t>79</w:t>
            </w:r>
          </w:hyperlink>
        </w:p>
        <w:p w14:paraId="000000CA"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5szzhpvnnpko">
            <w:r w:rsidR="00F71B39">
              <w:rPr>
                <w:color w:val="000000"/>
              </w:rPr>
              <w:t>4.13. Indicadores de gestión pública y fiscal (2016–2023)</w:t>
            </w:r>
            <w:r w:rsidR="00F71B39">
              <w:rPr>
                <w:color w:val="000000"/>
              </w:rPr>
              <w:tab/>
              <w:t>80</w:t>
            </w:r>
          </w:hyperlink>
        </w:p>
        <w:p w14:paraId="000000CB"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ctist3solvj4">
            <w:r w:rsidR="00F71B39">
              <w:rPr>
                <w:color w:val="000000"/>
              </w:rPr>
              <w:t>4.14. Análisis del contexto ambiental y expansión urbana en Turbaco (2016–2023).</w:t>
            </w:r>
            <w:r w:rsidR="00F71B39">
              <w:rPr>
                <w:color w:val="000000"/>
              </w:rPr>
              <w:tab/>
              <w:t>85</w:t>
            </w:r>
          </w:hyperlink>
        </w:p>
        <w:p w14:paraId="000000CC"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8xmmdfz0855x">
            <w:r w:rsidR="00F71B39">
              <w:rPr>
                <w:color w:val="000000"/>
              </w:rPr>
              <w:t>4.15. Contraste de los hallazgos con el estado del arte</w:t>
            </w:r>
            <w:r w:rsidR="00F71B39">
              <w:rPr>
                <w:color w:val="000000"/>
              </w:rPr>
              <w:tab/>
              <w:t>87</w:t>
            </w:r>
          </w:hyperlink>
        </w:p>
        <w:p w14:paraId="000000CD" w14:textId="77777777" w:rsidR="00663CDF" w:rsidRDefault="00DA2EDD">
          <w:pPr>
            <w:pStyle w:val="Normal0"/>
            <w:pBdr>
              <w:top w:val="nil"/>
              <w:left w:val="nil"/>
              <w:bottom w:val="nil"/>
              <w:right w:val="nil"/>
              <w:between w:val="nil"/>
            </w:pBdr>
            <w:tabs>
              <w:tab w:val="right" w:pos="8828"/>
            </w:tabs>
            <w:spacing w:after="100"/>
            <w:ind w:left="240"/>
            <w:rPr>
              <w:rFonts w:ascii="Calibri" w:eastAsia="Calibri" w:hAnsi="Calibri" w:cs="Calibri"/>
              <w:color w:val="000000"/>
            </w:rPr>
          </w:pPr>
          <w:hyperlink w:anchor="_heading=h.9ls91s37zfx1">
            <w:r w:rsidR="00F71B39">
              <w:rPr>
                <w:color w:val="000000"/>
              </w:rPr>
              <w:t>5. RECOMENDACIONES PARA LA OPTIMIZACIÓN DE LOS PROCESOS Y CRITERIOS DE CATEGORIZACIÓN DEL MUNICIPIO DE TURBACO</w:t>
            </w:r>
            <w:r w:rsidR="00F71B39">
              <w:rPr>
                <w:color w:val="000000"/>
              </w:rPr>
              <w:tab/>
              <w:t>89</w:t>
            </w:r>
          </w:hyperlink>
        </w:p>
        <w:p w14:paraId="000000CE"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b19edcpzkaug">
            <w:r w:rsidR="00F71B39">
              <w:rPr>
                <w:color w:val="000000"/>
              </w:rPr>
              <w:t>6. CONCLUSIONES.</w:t>
            </w:r>
            <w:r w:rsidR="00F71B39">
              <w:rPr>
                <w:color w:val="000000"/>
              </w:rPr>
              <w:tab/>
              <w:t>94</w:t>
            </w:r>
          </w:hyperlink>
        </w:p>
        <w:p w14:paraId="000000CF"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3e9iafwn1he">
            <w:r w:rsidR="00F71B39">
              <w:rPr>
                <w:color w:val="000000"/>
              </w:rPr>
              <w:t>6.1 Principales hallazgos</w:t>
            </w:r>
            <w:r w:rsidR="00F71B39">
              <w:rPr>
                <w:color w:val="000000"/>
              </w:rPr>
              <w:tab/>
              <w:t>95</w:t>
            </w:r>
          </w:hyperlink>
        </w:p>
        <w:p w14:paraId="000000D0"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n7zk61x9i7n8">
            <w:r w:rsidR="00F71B39">
              <w:rPr>
                <w:color w:val="000000"/>
              </w:rPr>
              <w:t>6.2 Limitaciones del estudio</w:t>
            </w:r>
            <w:r w:rsidR="00F71B39">
              <w:rPr>
                <w:color w:val="000000"/>
              </w:rPr>
              <w:tab/>
              <w:t>96</w:t>
            </w:r>
          </w:hyperlink>
        </w:p>
        <w:p w14:paraId="000000D1" w14:textId="77777777" w:rsidR="00663CDF" w:rsidRDefault="00DA2EDD">
          <w:pPr>
            <w:pStyle w:val="Normal0"/>
            <w:pBdr>
              <w:top w:val="nil"/>
              <w:left w:val="nil"/>
              <w:bottom w:val="nil"/>
              <w:right w:val="nil"/>
              <w:between w:val="nil"/>
            </w:pBdr>
            <w:tabs>
              <w:tab w:val="left" w:pos="1440"/>
              <w:tab w:val="right" w:pos="8828"/>
            </w:tabs>
            <w:spacing w:after="100"/>
            <w:rPr>
              <w:rFonts w:ascii="Calibri" w:eastAsia="Calibri" w:hAnsi="Calibri" w:cs="Calibri"/>
              <w:color w:val="000000"/>
            </w:rPr>
          </w:pPr>
          <w:hyperlink w:anchor="_heading=h.ozpycsn9zg5y">
            <w:r w:rsidR="00F71B39">
              <w:rPr>
                <w:color w:val="000000"/>
              </w:rPr>
              <w:t>6.3 Recomendaciones para futuras investigaciones y políticas públicas</w:t>
            </w:r>
            <w:r w:rsidR="00F71B39">
              <w:rPr>
                <w:color w:val="000000"/>
              </w:rPr>
              <w:tab/>
              <w:t>97</w:t>
            </w:r>
          </w:hyperlink>
        </w:p>
        <w:p w14:paraId="000000D2"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alq58ujidjho">
            <w:r w:rsidR="00F71B39">
              <w:rPr>
                <w:color w:val="000000"/>
              </w:rPr>
              <w:t>7.REFERENCIAS BIBLIOGRÁFICAS</w:t>
            </w:r>
            <w:r w:rsidR="00F71B39">
              <w:rPr>
                <w:color w:val="000000"/>
              </w:rPr>
              <w:tab/>
              <w:t>100</w:t>
            </w:r>
          </w:hyperlink>
        </w:p>
        <w:p w14:paraId="000000D3" w14:textId="77777777" w:rsidR="00663CDF" w:rsidRDefault="00DA2EDD">
          <w:pPr>
            <w:pStyle w:val="Normal0"/>
            <w:pBdr>
              <w:top w:val="nil"/>
              <w:left w:val="nil"/>
              <w:bottom w:val="nil"/>
              <w:right w:val="nil"/>
              <w:between w:val="nil"/>
            </w:pBdr>
            <w:tabs>
              <w:tab w:val="left" w:pos="720"/>
              <w:tab w:val="right" w:pos="8828"/>
            </w:tabs>
            <w:spacing w:after="100"/>
            <w:rPr>
              <w:rFonts w:ascii="Calibri" w:eastAsia="Calibri" w:hAnsi="Calibri" w:cs="Calibri"/>
              <w:color w:val="000000"/>
            </w:rPr>
          </w:pPr>
          <w:hyperlink w:anchor="_heading=h.213ti7ku5ocr">
            <w:r w:rsidR="00F71B39">
              <w:rPr>
                <w:rFonts w:ascii="Noto Sans Symbols" w:eastAsia="Noto Sans Symbols" w:hAnsi="Noto Sans Symbols" w:cs="Noto Sans Symbols"/>
                <w:color w:val="000000"/>
              </w:rPr>
              <w:t>∙</w:t>
            </w:r>
          </w:hyperlink>
          <w:hyperlink w:anchor="_heading=h.213ti7ku5ocr">
            <w:r w:rsidR="00F71B39">
              <w:rPr>
                <w:rFonts w:ascii="Calibri" w:eastAsia="Calibri" w:hAnsi="Calibri" w:cs="Calibri"/>
                <w:color w:val="000000"/>
              </w:rPr>
              <w:tab/>
            </w:r>
          </w:hyperlink>
          <w:r w:rsidR="00F71B39">
            <w:fldChar w:fldCharType="begin"/>
          </w:r>
          <w:r w:rsidR="00F71B39">
            <w:instrText xml:space="preserve"> PAGEREF _heading=h.213ti7ku5ocr \h </w:instrText>
          </w:r>
          <w:r w:rsidR="00F71B39">
            <w:fldChar w:fldCharType="separate"/>
          </w:r>
          <w:r w:rsidR="00F71B39">
            <w:rPr>
              <w:color w:val="000000"/>
            </w:rPr>
            <w:t>ANEXOS</w:t>
          </w:r>
          <w:r w:rsidR="00F71B39">
            <w:rPr>
              <w:color w:val="000000"/>
            </w:rPr>
            <w:tab/>
            <w:t>109</w:t>
          </w:r>
          <w:r w:rsidR="00F71B39">
            <w:fldChar w:fldCharType="end"/>
          </w:r>
        </w:p>
        <w:p w14:paraId="000000D4" w14:textId="77777777" w:rsidR="00663CDF" w:rsidRDefault="00F71B39">
          <w:pPr>
            <w:pStyle w:val="Normal0"/>
            <w:spacing w:line="360" w:lineRule="auto"/>
          </w:pPr>
          <w:r>
            <w:fldChar w:fldCharType="end"/>
          </w:r>
        </w:p>
      </w:sdtContent>
    </w:sdt>
    <w:p w14:paraId="000000D5" w14:textId="77777777" w:rsidR="00663CDF" w:rsidRDefault="00663CDF">
      <w:pPr>
        <w:pStyle w:val="Normal0"/>
        <w:spacing w:line="360" w:lineRule="auto"/>
      </w:pPr>
    </w:p>
    <w:p w14:paraId="000000D6" w14:textId="77777777" w:rsidR="00663CDF" w:rsidRDefault="00663CDF">
      <w:pPr>
        <w:pStyle w:val="Normal0"/>
        <w:spacing w:line="360" w:lineRule="auto"/>
      </w:pPr>
    </w:p>
    <w:p w14:paraId="000000D7" w14:textId="77777777" w:rsidR="00663CDF" w:rsidRDefault="00663CDF">
      <w:pPr>
        <w:pStyle w:val="Normal0"/>
        <w:spacing w:line="360" w:lineRule="auto"/>
      </w:pPr>
    </w:p>
    <w:p w14:paraId="000000D8" w14:textId="77777777" w:rsidR="00663CDF" w:rsidRDefault="00663CDF">
      <w:pPr>
        <w:pStyle w:val="Normal0"/>
        <w:spacing w:line="360" w:lineRule="auto"/>
      </w:pPr>
    </w:p>
    <w:p w14:paraId="000000D9" w14:textId="77777777" w:rsidR="00663CDF" w:rsidRDefault="00F71B39">
      <w:pPr>
        <w:pStyle w:val="Normal0"/>
        <w:spacing w:line="360" w:lineRule="auto"/>
        <w:rPr>
          <w:i/>
        </w:rPr>
      </w:pPr>
      <w:r>
        <w:br w:type="page"/>
      </w:r>
    </w:p>
    <w:p w14:paraId="000000DA" w14:textId="77777777" w:rsidR="00663CDF" w:rsidRDefault="00F71B39">
      <w:pPr>
        <w:pStyle w:val="Normal0"/>
        <w:spacing w:line="360" w:lineRule="auto"/>
        <w:rPr>
          <w:b/>
        </w:rPr>
      </w:pPr>
      <w:r>
        <w:rPr>
          <w:b/>
        </w:rPr>
        <w:lastRenderedPageBreak/>
        <w:t>TABLAS</w:t>
      </w:r>
    </w:p>
    <w:p w14:paraId="000000DB" w14:textId="77777777" w:rsidR="00663CDF" w:rsidRDefault="00663CDF">
      <w:pPr>
        <w:pStyle w:val="Normal0"/>
        <w:spacing w:line="360" w:lineRule="auto"/>
        <w:rPr>
          <w:b/>
        </w:rPr>
      </w:pPr>
    </w:p>
    <w:sdt>
      <w:sdtPr>
        <w:id w:val="564433033"/>
        <w:docPartObj>
          <w:docPartGallery w:val="Table of Contents"/>
          <w:docPartUnique/>
        </w:docPartObj>
      </w:sdtPr>
      <w:sdtEndPr/>
      <w:sdtContent>
        <w:p w14:paraId="000000DC" w14:textId="77777777" w:rsidR="00663CDF" w:rsidRDefault="00F71B39">
          <w:pPr>
            <w:pStyle w:val="Normal0"/>
            <w:pBdr>
              <w:top w:val="nil"/>
              <w:left w:val="nil"/>
              <w:bottom w:val="nil"/>
              <w:right w:val="nil"/>
              <w:between w:val="nil"/>
            </w:pBdr>
            <w:tabs>
              <w:tab w:val="right" w:pos="8828"/>
            </w:tabs>
            <w:spacing w:after="100"/>
            <w:rPr>
              <w:rFonts w:ascii="Calibri" w:eastAsia="Calibri" w:hAnsi="Calibri" w:cs="Calibri"/>
              <w:color w:val="000000"/>
            </w:rPr>
          </w:pPr>
          <w:r>
            <w:fldChar w:fldCharType="begin"/>
          </w:r>
          <w:r>
            <w:instrText xml:space="preserve"> TOC \h \u \z \t "Heading 1,1,Heading 2,2,Heading 3,3,Heading 4,4,Heading 5,5,Heading 6,6,"</w:instrText>
          </w:r>
          <w:r>
            <w:fldChar w:fldCharType="separate"/>
          </w:r>
          <w:hyperlink w:anchor="_heading=h.37fj7h4vs96r">
            <w:r>
              <w:rPr>
                <w:color w:val="000000"/>
              </w:rPr>
              <w:t>Tabla 1. Operacionalización de variables</w:t>
            </w:r>
            <w:r>
              <w:rPr>
                <w:color w:val="000000"/>
              </w:rPr>
              <w:tab/>
              <w:t>33</w:t>
            </w:r>
          </w:hyperlink>
        </w:p>
        <w:p w14:paraId="000000DD"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3s79qoovcjna">
            <w:r w:rsidR="00F71B39">
              <w:rPr>
                <w:color w:val="000000"/>
              </w:rPr>
              <w:t>Tabla 2. Cambios principales en la planta de personal – Decreto No. 0000432 (30 de diciembre de 2016)</w:t>
            </w:r>
            <w:r w:rsidR="00F71B39">
              <w:rPr>
                <w:color w:val="000000"/>
              </w:rPr>
              <w:tab/>
              <w:t>46</w:t>
            </w:r>
          </w:hyperlink>
        </w:p>
        <w:p w14:paraId="000000DE"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6qua978tzami">
            <w:r w:rsidR="00F71B39">
              <w:rPr>
                <w:color w:val="000000"/>
              </w:rPr>
              <w:t>Tabla 2. Incidencia de la categorización municipal en Turbaco</w:t>
            </w:r>
            <w:r w:rsidR="00F71B39">
              <w:rPr>
                <w:color w:val="000000"/>
              </w:rPr>
              <w:tab/>
              <w:t>57</w:t>
            </w:r>
          </w:hyperlink>
        </w:p>
        <w:p w14:paraId="000000DF"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yc6yecks0a97">
            <w:r w:rsidR="00F71B39">
              <w:rPr>
                <w:color w:val="000000"/>
              </w:rPr>
              <w:t>Tabla 3.  Datos sobre Ingresos ICLD y Gastos de Funcionamiento del municipio de Turbaco (2016-2023)</w:t>
            </w:r>
            <w:r w:rsidR="00F71B39">
              <w:rPr>
                <w:color w:val="000000"/>
              </w:rPr>
              <w:tab/>
              <w:t>59</w:t>
            </w:r>
          </w:hyperlink>
        </w:p>
        <w:p w14:paraId="000000E0"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gaufgu1xthae">
            <w:r w:rsidR="00F71B39">
              <w:rPr>
                <w:color w:val="000000"/>
              </w:rPr>
              <w:t>Tabla 4. Análisis comparativo IDF 2016-2023 Turbaco Bolívar.</w:t>
            </w:r>
            <w:r w:rsidR="00F71B39">
              <w:rPr>
                <w:color w:val="000000"/>
              </w:rPr>
              <w:tab/>
              <w:t>60</w:t>
            </w:r>
          </w:hyperlink>
        </w:p>
        <w:p w14:paraId="000000E1"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c84yyq7uank9">
            <w:r w:rsidR="00F71B39">
              <w:rPr>
                <w:color w:val="000000"/>
              </w:rPr>
              <w:t>Tabla 5. Resoluciones de las evaluaciones de la categorización</w:t>
            </w:r>
            <w:r w:rsidR="00F71B39">
              <w:rPr>
                <w:color w:val="000000"/>
              </w:rPr>
              <w:tab/>
              <w:t>61</w:t>
            </w:r>
          </w:hyperlink>
        </w:p>
        <w:p w14:paraId="000000E2"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lc7ipk4wxvq9">
            <w:r w:rsidR="00F71B39">
              <w:rPr>
                <w:color w:val="000000"/>
              </w:rPr>
              <w:t>Tabla 6. cumplimiento de la Ley 617 del 2000</w:t>
            </w:r>
            <w:r w:rsidR="00F71B39">
              <w:rPr>
                <w:color w:val="000000"/>
              </w:rPr>
              <w:tab/>
              <w:t>62</w:t>
            </w:r>
          </w:hyperlink>
        </w:p>
        <w:p w14:paraId="000000E3"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ie37qclgb5u">
            <w:r w:rsidR="00F71B39">
              <w:rPr>
                <w:color w:val="000000"/>
              </w:rPr>
              <w:t>Tabla 7. Cuadro de los ingresos 2016 a 2013 del Municipio de Turbaco.</w:t>
            </w:r>
            <w:r w:rsidR="00F71B39">
              <w:rPr>
                <w:color w:val="000000"/>
              </w:rPr>
              <w:tab/>
              <w:t>66</w:t>
            </w:r>
          </w:hyperlink>
        </w:p>
        <w:p w14:paraId="000000E4"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f02wemuu8mj6">
            <w:r w:rsidR="00F71B39">
              <w:rPr>
                <w:color w:val="000000"/>
              </w:rPr>
              <w:t>Tabla 8. Evolución de la Inversión en Educación (2016-2023)</w:t>
            </w:r>
            <w:r w:rsidR="00F71B39">
              <w:rPr>
                <w:color w:val="000000"/>
              </w:rPr>
              <w:tab/>
              <w:t>72</w:t>
            </w:r>
          </w:hyperlink>
        </w:p>
        <w:p w14:paraId="000000E5"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igwyy62ytu7u">
            <w:r w:rsidR="00F71B39">
              <w:rPr>
                <w:color w:val="000000"/>
              </w:rPr>
              <w:t>Tabla 9. Evolución de la Inversión en Salud (2016-2023)</w:t>
            </w:r>
            <w:r w:rsidR="00F71B39">
              <w:rPr>
                <w:color w:val="000000"/>
              </w:rPr>
              <w:tab/>
              <w:t>73</w:t>
            </w:r>
          </w:hyperlink>
        </w:p>
        <w:p w14:paraId="000000E6"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tsu7t87z4kho">
            <w:r w:rsidR="00F71B39">
              <w:rPr>
                <w:color w:val="000000"/>
              </w:rPr>
              <w:t>Tabla 10. Evolución de la Inversión en Vivienda y Servicios Públicos (2016-2023)</w:t>
            </w:r>
            <w:r w:rsidR="00F71B39">
              <w:rPr>
                <w:color w:val="000000"/>
              </w:rPr>
              <w:tab/>
              <w:t>74</w:t>
            </w:r>
          </w:hyperlink>
        </w:p>
        <w:p w14:paraId="000000E7"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dg2m0wrrksp8">
            <w:r w:rsidR="00F71B39">
              <w:rPr>
                <w:color w:val="000000"/>
              </w:rPr>
              <w:t>Tabla 11. Evolución del NBS y NBI en Turbaco (2016-2023).</w:t>
            </w:r>
            <w:r w:rsidR="00F71B39">
              <w:rPr>
                <w:color w:val="000000"/>
              </w:rPr>
              <w:tab/>
              <w:t>75</w:t>
            </w:r>
          </w:hyperlink>
        </w:p>
        <w:p w14:paraId="000000E8"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k6uucki9fvnl">
            <w:r w:rsidR="00F71B39">
              <w:rPr>
                <w:color w:val="000000"/>
              </w:rPr>
              <w:t>Tabla 12. Cobertura por Componentes de Resultados (%) - Turbaco, Bolívar</w:t>
            </w:r>
            <w:r w:rsidR="00F71B39">
              <w:rPr>
                <w:color w:val="000000"/>
              </w:rPr>
              <w:tab/>
              <w:t>79</w:t>
            </w:r>
          </w:hyperlink>
        </w:p>
        <w:p w14:paraId="000000E9"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boh0gm3pyq2x">
            <w:r w:rsidR="00F71B39">
              <w:rPr>
                <w:color w:val="000000"/>
              </w:rPr>
              <w:t>Tabla 13. Indicadores de Gestión Pública del Municipio de Turbaco (2016–2023)</w:t>
            </w:r>
            <w:r w:rsidR="00F71B39">
              <w:rPr>
                <w:color w:val="000000"/>
              </w:rPr>
              <w:tab/>
              <w:t>80</w:t>
            </w:r>
          </w:hyperlink>
        </w:p>
        <w:p w14:paraId="000000EA"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tvfbd2610eab">
            <w:r w:rsidR="00F71B39">
              <w:rPr>
                <w:color w:val="000000"/>
              </w:rPr>
              <w:t>Tabla 14. Número de construcciones por comunas en Turbaco corte 2020.</w:t>
            </w:r>
            <w:r w:rsidR="00F71B39">
              <w:rPr>
                <w:color w:val="000000"/>
              </w:rPr>
              <w:tab/>
              <w:t>85</w:t>
            </w:r>
          </w:hyperlink>
        </w:p>
        <w:p w14:paraId="000000EB" w14:textId="77777777" w:rsidR="00663CDF" w:rsidRDefault="00F71B39">
          <w:pPr>
            <w:pStyle w:val="Normal0"/>
            <w:spacing w:line="360" w:lineRule="auto"/>
          </w:pPr>
          <w:r>
            <w:fldChar w:fldCharType="end"/>
          </w:r>
        </w:p>
      </w:sdtContent>
    </w:sdt>
    <w:p w14:paraId="000000EC" w14:textId="77777777" w:rsidR="00663CDF" w:rsidRDefault="00F71B39">
      <w:pPr>
        <w:pStyle w:val="Normal0"/>
        <w:spacing w:after="160" w:line="360" w:lineRule="auto"/>
      </w:pPr>
      <w:r>
        <w:br w:type="page"/>
      </w:r>
    </w:p>
    <w:p w14:paraId="000000ED" w14:textId="77777777" w:rsidR="00663CDF" w:rsidRDefault="00F71B39">
      <w:pPr>
        <w:pStyle w:val="Normal0"/>
        <w:spacing w:line="360" w:lineRule="auto"/>
        <w:rPr>
          <w:b/>
        </w:rPr>
      </w:pPr>
      <w:r>
        <w:rPr>
          <w:b/>
        </w:rPr>
        <w:lastRenderedPageBreak/>
        <w:t>GRÁFICOS</w:t>
      </w:r>
    </w:p>
    <w:p w14:paraId="000000EE" w14:textId="77777777" w:rsidR="00663CDF" w:rsidRDefault="00663CDF">
      <w:pPr>
        <w:pStyle w:val="Normal0"/>
        <w:spacing w:line="360" w:lineRule="auto"/>
        <w:rPr>
          <w:b/>
        </w:rPr>
      </w:pPr>
    </w:p>
    <w:sdt>
      <w:sdtPr>
        <w:id w:val="1265600117"/>
        <w:docPartObj>
          <w:docPartGallery w:val="Table of Contents"/>
          <w:docPartUnique/>
        </w:docPartObj>
      </w:sdtPr>
      <w:sdtEndPr/>
      <w:sdtContent>
        <w:p w14:paraId="000000EF" w14:textId="77777777" w:rsidR="00663CDF" w:rsidRDefault="00F71B39">
          <w:pPr>
            <w:pStyle w:val="Normal0"/>
            <w:pBdr>
              <w:top w:val="nil"/>
              <w:left w:val="nil"/>
              <w:bottom w:val="nil"/>
              <w:right w:val="nil"/>
              <w:between w:val="nil"/>
            </w:pBdr>
            <w:tabs>
              <w:tab w:val="right" w:pos="8828"/>
            </w:tabs>
            <w:spacing w:after="100"/>
            <w:rPr>
              <w:rFonts w:ascii="Calibri" w:eastAsia="Calibri" w:hAnsi="Calibri" w:cs="Calibri"/>
              <w:color w:val="000000"/>
            </w:rPr>
          </w:pPr>
          <w:r>
            <w:fldChar w:fldCharType="begin"/>
          </w:r>
          <w:r>
            <w:instrText xml:space="preserve"> TOC \h \u \z \t "Heading 1,1,Heading 2,2,Heading 3,3,Heading 4,4,Heading 5,5,Heading 6,6,"</w:instrText>
          </w:r>
          <w:r>
            <w:fldChar w:fldCharType="separate"/>
          </w:r>
          <w:hyperlink w:anchor="_heading=h.65etjn623z4v">
            <w:r>
              <w:rPr>
                <w:color w:val="000000"/>
              </w:rPr>
              <w:t>Gráfico 1. Fases de la investigación</w:t>
            </w:r>
            <w:r>
              <w:rPr>
                <w:color w:val="000000"/>
              </w:rPr>
              <w:tab/>
              <w:t>30</w:t>
            </w:r>
          </w:hyperlink>
        </w:p>
        <w:p w14:paraId="000000F0"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k5a88amiwgbb">
            <w:r w:rsidR="00F71B39">
              <w:rPr>
                <w:color w:val="000000"/>
              </w:rPr>
              <w:t>Grafico 2. % de gasto de funcionamiento sobre ICLD</w:t>
            </w:r>
            <w:r w:rsidR="00F71B39">
              <w:rPr>
                <w:color w:val="000000"/>
              </w:rPr>
              <w:tab/>
              <w:t>80</w:t>
            </w:r>
          </w:hyperlink>
        </w:p>
        <w:p w14:paraId="000000F1" w14:textId="77777777" w:rsidR="00663CDF" w:rsidRDefault="00DA2EDD">
          <w:pPr>
            <w:pStyle w:val="Normal0"/>
            <w:pBdr>
              <w:top w:val="nil"/>
              <w:left w:val="nil"/>
              <w:bottom w:val="nil"/>
              <w:right w:val="nil"/>
              <w:between w:val="nil"/>
            </w:pBdr>
            <w:tabs>
              <w:tab w:val="right" w:pos="8828"/>
            </w:tabs>
            <w:spacing w:after="100"/>
            <w:rPr>
              <w:rFonts w:ascii="Calibri" w:eastAsia="Calibri" w:hAnsi="Calibri" w:cs="Calibri"/>
              <w:color w:val="000000"/>
            </w:rPr>
          </w:pPr>
          <w:hyperlink w:anchor="_heading=h.q1489ux4eqf8">
            <w:r w:rsidR="00F71B39">
              <w:rPr>
                <w:i/>
                <w:color w:val="000000"/>
              </w:rPr>
              <w:t xml:space="preserve">Grafico 3. </w:t>
            </w:r>
          </w:hyperlink>
          <w:hyperlink w:anchor="_heading=h.q1489ux4eqf8">
            <w:r w:rsidR="00F71B39">
              <w:rPr>
                <w:color w:val="000000"/>
              </w:rPr>
              <w:t>Crecimiento del IPU e ICA</w:t>
            </w:r>
            <w:r w:rsidR="00F71B39">
              <w:rPr>
                <w:color w:val="000000"/>
              </w:rPr>
              <w:tab/>
              <w:t>81</w:t>
            </w:r>
          </w:hyperlink>
        </w:p>
        <w:p w14:paraId="000000F2" w14:textId="77777777" w:rsidR="00663CDF" w:rsidRDefault="00F71B39">
          <w:pPr>
            <w:pStyle w:val="Normal0"/>
            <w:spacing w:line="360" w:lineRule="auto"/>
          </w:pPr>
          <w:r>
            <w:fldChar w:fldCharType="end"/>
          </w:r>
        </w:p>
      </w:sdtContent>
    </w:sdt>
    <w:p w14:paraId="000000F3" w14:textId="77777777" w:rsidR="00663CDF" w:rsidRDefault="00F71B39">
      <w:pPr>
        <w:pStyle w:val="Normal0"/>
        <w:spacing w:after="160" w:line="360" w:lineRule="auto"/>
        <w:rPr>
          <w:i/>
        </w:rPr>
      </w:pPr>
      <w:r>
        <w:br w:type="page"/>
      </w:r>
    </w:p>
    <w:p w14:paraId="000000F4" w14:textId="77777777" w:rsidR="00663CDF" w:rsidRDefault="00F71B39">
      <w:pPr>
        <w:pStyle w:val="Normal0"/>
        <w:spacing w:line="360" w:lineRule="auto"/>
        <w:rPr>
          <w:b/>
        </w:rPr>
      </w:pPr>
      <w:r>
        <w:rPr>
          <w:b/>
        </w:rPr>
        <w:lastRenderedPageBreak/>
        <w:t>INTRODUCCIÓN</w:t>
      </w:r>
    </w:p>
    <w:p w14:paraId="000000F5" w14:textId="77777777" w:rsidR="00663CDF" w:rsidRDefault="00663CDF">
      <w:pPr>
        <w:pStyle w:val="Normal0"/>
        <w:spacing w:line="360" w:lineRule="auto"/>
        <w:rPr>
          <w:b/>
        </w:rPr>
      </w:pPr>
    </w:p>
    <w:p w14:paraId="000000F6" w14:textId="77777777" w:rsidR="00663CDF" w:rsidRDefault="00F71B39">
      <w:pPr>
        <w:pStyle w:val="Normal0"/>
        <w:spacing w:line="360" w:lineRule="auto"/>
      </w:pPr>
      <w:r>
        <w:t>La descentralización fiscal, politica y administrativa es una política fundamental para la administración pública, y la categorización municipal es una herramienta clave para su implementación, ambas orientadas a promover el desarrollo socioeconómico en los municipios. En este contexto, el municipio de Turbaco, en el departamento de Bolívar, no es la excepción, ya que se muestra como un escenario relevante para analizar cómo la descentralización y la categorización, contribuyen al desarrollo socioeconómico y una adecuada gestión pública territorial como soporte para el bienestar de sus habitantes.</w:t>
      </w:r>
    </w:p>
    <w:p w14:paraId="000000F7" w14:textId="77777777" w:rsidR="00663CDF" w:rsidRDefault="00663CDF">
      <w:pPr>
        <w:pStyle w:val="Normal0"/>
        <w:spacing w:line="360" w:lineRule="auto"/>
      </w:pPr>
    </w:p>
    <w:p w14:paraId="000000F8" w14:textId="77777777" w:rsidR="00663CDF" w:rsidRDefault="00F71B39">
      <w:pPr>
        <w:pStyle w:val="Normal0"/>
        <w:spacing w:line="360" w:lineRule="auto"/>
      </w:pPr>
      <w:r>
        <w:t>El presente trabajo investigativo se enfoca en responder a la pregunta problema: ¿Cómo ha incidido la política de descentralización y la categorización en el desarrollo social de los habitantes de Turbaco-Bolívar? El objetivo general de la investigación es estudiar el cambio de las políticas de descentralización y categorización ejecutadas por la administración para el desarrollo social y económico de los habitantes del municipio.</w:t>
      </w:r>
    </w:p>
    <w:p w14:paraId="000000F9" w14:textId="77777777" w:rsidR="00663CDF" w:rsidRDefault="00663CDF">
      <w:pPr>
        <w:pStyle w:val="Normal0"/>
        <w:spacing w:line="360" w:lineRule="auto"/>
      </w:pPr>
    </w:p>
    <w:p w14:paraId="000000FA" w14:textId="77777777" w:rsidR="00663CDF" w:rsidRDefault="00F71B39">
      <w:pPr>
        <w:pStyle w:val="Normal0"/>
        <w:spacing w:line="360" w:lineRule="auto"/>
      </w:pPr>
      <w:r>
        <w:t>Para lograr este objetivo general, se plantean los siguientes objetivos específicos: en primer lugar, examinar los planes, acciones y estrategias desarrolladas por la administración pública en lo relacionado con descentralización y categorización en los periodos comprendidos entre 2016-2019 y 2020-2023. En segundo lugar, se pretende explicar las variaciones en el desarrollo social de los habitantes del municipio y su afectación como resultado de la implementación de estas políticas de descentralización y categorización. Finalmente, se proponen sugerencias que permitan mejorar las prácticas en la administración pública, específicamente en las líneas de descentralización y categorización, con el fin de potenciar el desarrollo social de los habitantes del municipio de Turbaco.</w:t>
      </w:r>
    </w:p>
    <w:p w14:paraId="000000FB" w14:textId="77777777" w:rsidR="00663CDF" w:rsidRDefault="00663CDF">
      <w:pPr>
        <w:pStyle w:val="Normal0"/>
        <w:spacing w:line="360" w:lineRule="auto"/>
      </w:pPr>
    </w:p>
    <w:p w14:paraId="000000FC" w14:textId="77777777" w:rsidR="00663CDF" w:rsidRDefault="00F71B39">
      <w:pPr>
        <w:pStyle w:val="Normal0"/>
        <w:spacing w:line="360" w:lineRule="auto"/>
      </w:pPr>
      <w:r>
        <w:lastRenderedPageBreak/>
        <w:t>Mediante este estudio, se espera contribuir al conocimiento y comprensión de la política de descentralización y categorización en el contexto específico de Turbaco, así como identificar las implicaciones de estas políticas en el desarrollo social de sus habitantes. Asimismo, se busca aportar recomendaciones y propuestas concretas que permitan mejorar la gestión pública en las áreas de descentralización y categorización, con el objetivo de impulsar el desarrollo social y mejorar la calidad de vida de la población en el municipio</w:t>
      </w:r>
    </w:p>
    <w:p w14:paraId="000000FD" w14:textId="77777777" w:rsidR="00663CDF" w:rsidRDefault="00663CDF">
      <w:pPr>
        <w:pStyle w:val="Normal0"/>
        <w:spacing w:line="360" w:lineRule="auto"/>
        <w:rPr>
          <w:b/>
        </w:rPr>
      </w:pPr>
    </w:p>
    <w:p w14:paraId="000000FE" w14:textId="77777777" w:rsidR="00663CDF" w:rsidRDefault="00663CDF">
      <w:pPr>
        <w:pStyle w:val="Normal0"/>
        <w:spacing w:line="360" w:lineRule="auto"/>
        <w:rPr>
          <w:b/>
        </w:rPr>
      </w:pPr>
    </w:p>
    <w:p w14:paraId="000000FF" w14:textId="77777777" w:rsidR="00663CDF" w:rsidRDefault="00663CDF">
      <w:pPr>
        <w:pStyle w:val="Normal0"/>
        <w:spacing w:line="360" w:lineRule="auto"/>
        <w:rPr>
          <w:b/>
        </w:rPr>
      </w:pPr>
    </w:p>
    <w:p w14:paraId="00000100" w14:textId="77777777" w:rsidR="00663CDF" w:rsidRDefault="00663CDF">
      <w:pPr>
        <w:pStyle w:val="Normal0"/>
        <w:spacing w:line="360" w:lineRule="auto"/>
        <w:rPr>
          <w:b/>
        </w:rPr>
      </w:pPr>
    </w:p>
    <w:p w14:paraId="00000101" w14:textId="77777777" w:rsidR="00663CDF" w:rsidRDefault="00663CDF">
      <w:pPr>
        <w:pStyle w:val="Normal0"/>
        <w:spacing w:line="360" w:lineRule="auto"/>
        <w:rPr>
          <w:b/>
        </w:rPr>
      </w:pPr>
    </w:p>
    <w:p w14:paraId="00000102" w14:textId="77777777" w:rsidR="00663CDF" w:rsidRDefault="00663CDF">
      <w:pPr>
        <w:pStyle w:val="Normal0"/>
        <w:spacing w:line="360" w:lineRule="auto"/>
        <w:rPr>
          <w:b/>
        </w:rPr>
      </w:pPr>
    </w:p>
    <w:p w14:paraId="00000103" w14:textId="77777777" w:rsidR="00663CDF" w:rsidRDefault="00663CDF">
      <w:pPr>
        <w:pStyle w:val="Normal0"/>
        <w:spacing w:line="360" w:lineRule="auto"/>
        <w:rPr>
          <w:b/>
        </w:rPr>
      </w:pPr>
    </w:p>
    <w:p w14:paraId="00000104" w14:textId="77777777" w:rsidR="00663CDF" w:rsidRDefault="00663CDF">
      <w:pPr>
        <w:pStyle w:val="Normal0"/>
        <w:spacing w:line="360" w:lineRule="auto"/>
        <w:rPr>
          <w:b/>
        </w:rPr>
      </w:pPr>
    </w:p>
    <w:p w14:paraId="00000105" w14:textId="77777777" w:rsidR="00663CDF" w:rsidRDefault="00663CDF">
      <w:pPr>
        <w:pStyle w:val="Normal0"/>
        <w:spacing w:line="360" w:lineRule="auto"/>
        <w:rPr>
          <w:b/>
        </w:rPr>
      </w:pPr>
    </w:p>
    <w:p w14:paraId="00000106" w14:textId="77777777" w:rsidR="00663CDF" w:rsidRDefault="00663CDF">
      <w:pPr>
        <w:pStyle w:val="Normal0"/>
        <w:spacing w:line="360" w:lineRule="auto"/>
        <w:rPr>
          <w:b/>
        </w:rPr>
      </w:pPr>
    </w:p>
    <w:p w14:paraId="00000107" w14:textId="77777777" w:rsidR="00663CDF" w:rsidRDefault="00663CDF">
      <w:pPr>
        <w:pStyle w:val="Normal0"/>
        <w:spacing w:line="360" w:lineRule="auto"/>
        <w:rPr>
          <w:b/>
        </w:rPr>
      </w:pPr>
    </w:p>
    <w:p w14:paraId="00000108" w14:textId="77777777" w:rsidR="00663CDF" w:rsidRDefault="00663CDF">
      <w:pPr>
        <w:pStyle w:val="Normal0"/>
        <w:spacing w:line="360" w:lineRule="auto"/>
        <w:rPr>
          <w:b/>
        </w:rPr>
      </w:pPr>
    </w:p>
    <w:p w14:paraId="00000109" w14:textId="77777777" w:rsidR="00663CDF" w:rsidRDefault="00663CDF">
      <w:pPr>
        <w:pStyle w:val="Normal0"/>
        <w:spacing w:line="360" w:lineRule="auto"/>
        <w:rPr>
          <w:b/>
        </w:rPr>
      </w:pPr>
    </w:p>
    <w:p w14:paraId="0000010A" w14:textId="77777777" w:rsidR="00663CDF" w:rsidRDefault="00663CDF">
      <w:pPr>
        <w:pStyle w:val="Normal0"/>
        <w:spacing w:line="360" w:lineRule="auto"/>
        <w:rPr>
          <w:b/>
        </w:rPr>
      </w:pPr>
    </w:p>
    <w:p w14:paraId="0000010B" w14:textId="77777777" w:rsidR="00663CDF" w:rsidRDefault="00663CDF">
      <w:pPr>
        <w:pStyle w:val="Normal0"/>
        <w:spacing w:line="360" w:lineRule="auto"/>
        <w:rPr>
          <w:b/>
        </w:rPr>
      </w:pPr>
    </w:p>
    <w:p w14:paraId="0000010C" w14:textId="77777777" w:rsidR="00663CDF" w:rsidRDefault="00663CDF">
      <w:pPr>
        <w:pStyle w:val="Normal0"/>
        <w:spacing w:line="360" w:lineRule="auto"/>
        <w:rPr>
          <w:b/>
        </w:rPr>
      </w:pPr>
    </w:p>
    <w:p w14:paraId="0000010D" w14:textId="77777777" w:rsidR="00663CDF" w:rsidRDefault="00663CDF">
      <w:pPr>
        <w:pStyle w:val="Normal0"/>
        <w:spacing w:line="360" w:lineRule="auto"/>
        <w:rPr>
          <w:b/>
        </w:rPr>
      </w:pPr>
    </w:p>
    <w:p w14:paraId="0000010E" w14:textId="77777777" w:rsidR="00663CDF" w:rsidRDefault="00663CDF">
      <w:pPr>
        <w:pStyle w:val="Normal0"/>
        <w:spacing w:line="360" w:lineRule="auto"/>
        <w:rPr>
          <w:b/>
        </w:rPr>
      </w:pPr>
    </w:p>
    <w:p w14:paraId="0000010F" w14:textId="77777777" w:rsidR="00663CDF" w:rsidRDefault="00663CDF">
      <w:pPr>
        <w:pStyle w:val="Normal0"/>
        <w:spacing w:line="360" w:lineRule="auto"/>
        <w:rPr>
          <w:b/>
        </w:rPr>
      </w:pPr>
    </w:p>
    <w:p w14:paraId="00000110" w14:textId="77777777" w:rsidR="00663CDF" w:rsidRDefault="00663CDF">
      <w:pPr>
        <w:pStyle w:val="Normal0"/>
        <w:spacing w:line="360" w:lineRule="auto"/>
        <w:rPr>
          <w:b/>
        </w:rPr>
      </w:pPr>
    </w:p>
    <w:p w14:paraId="00000111" w14:textId="77777777" w:rsidR="00663CDF" w:rsidRDefault="00663CDF">
      <w:pPr>
        <w:pStyle w:val="Normal0"/>
        <w:spacing w:line="360" w:lineRule="auto"/>
        <w:rPr>
          <w:b/>
        </w:rPr>
      </w:pPr>
    </w:p>
    <w:p w14:paraId="00000112" w14:textId="77777777" w:rsidR="00663CDF" w:rsidRDefault="00663CDF">
      <w:pPr>
        <w:pStyle w:val="Normal0"/>
        <w:spacing w:line="360" w:lineRule="auto"/>
        <w:rPr>
          <w:b/>
        </w:rPr>
      </w:pPr>
    </w:p>
    <w:p w14:paraId="00000113" w14:textId="77777777" w:rsidR="00663CDF" w:rsidRDefault="00663CDF">
      <w:pPr>
        <w:pStyle w:val="Normal0"/>
        <w:spacing w:line="360" w:lineRule="auto"/>
        <w:rPr>
          <w:b/>
        </w:rPr>
      </w:pPr>
    </w:p>
    <w:p w14:paraId="00000114" w14:textId="77777777" w:rsidR="00663CDF" w:rsidRDefault="00663CDF">
      <w:pPr>
        <w:pStyle w:val="Normal0"/>
        <w:spacing w:line="360" w:lineRule="auto"/>
        <w:rPr>
          <w:b/>
        </w:rPr>
      </w:pPr>
    </w:p>
    <w:p w14:paraId="00000115" w14:textId="77777777" w:rsidR="00663CDF" w:rsidRDefault="00F71B39">
      <w:pPr>
        <w:pStyle w:val="Ttulo1"/>
        <w:numPr>
          <w:ilvl w:val="0"/>
          <w:numId w:val="9"/>
        </w:numPr>
        <w:spacing w:line="360" w:lineRule="auto"/>
        <w:ind w:left="426" w:hanging="426"/>
      </w:pPr>
      <w:bookmarkStart w:id="3" w:name="_heading=h.ewccrw1i780y" w:colFirst="0" w:colLast="0"/>
      <w:bookmarkEnd w:id="3"/>
      <w:r>
        <w:t xml:space="preserve">ANTEPROYECTO </w:t>
      </w:r>
    </w:p>
    <w:p w14:paraId="00000116" w14:textId="77777777" w:rsidR="00663CDF" w:rsidRDefault="00663CDF">
      <w:pPr>
        <w:pStyle w:val="Normal0"/>
        <w:spacing w:line="360" w:lineRule="auto"/>
        <w:ind w:left="567" w:hanging="567"/>
        <w:rPr>
          <w:b/>
          <w:sz w:val="23"/>
          <w:szCs w:val="23"/>
        </w:rPr>
      </w:pPr>
    </w:p>
    <w:p w14:paraId="00000117" w14:textId="77777777" w:rsidR="00663CDF" w:rsidRDefault="00F71B39">
      <w:pPr>
        <w:pStyle w:val="Ttulo2"/>
        <w:numPr>
          <w:ilvl w:val="1"/>
          <w:numId w:val="9"/>
        </w:numPr>
        <w:spacing w:line="360" w:lineRule="auto"/>
        <w:ind w:left="709" w:hanging="709"/>
      </w:pPr>
      <w:bookmarkStart w:id="4" w:name="_heading=h.2fyzicrwsoz2" w:colFirst="0" w:colLast="0"/>
      <w:bookmarkEnd w:id="4"/>
      <w:r>
        <w:t xml:space="preserve">PLANTEAMIENTO DEL PROBLEMA </w:t>
      </w:r>
    </w:p>
    <w:p w14:paraId="00000118" w14:textId="77777777" w:rsidR="00663CDF" w:rsidRDefault="00663CDF">
      <w:pPr>
        <w:pStyle w:val="Normal0"/>
        <w:spacing w:line="360" w:lineRule="auto"/>
        <w:ind w:left="567" w:hanging="567"/>
        <w:rPr>
          <w:b/>
          <w:sz w:val="23"/>
          <w:szCs w:val="23"/>
        </w:rPr>
      </w:pPr>
    </w:p>
    <w:p w14:paraId="00000119" w14:textId="77777777" w:rsidR="00663CDF" w:rsidRDefault="00F71B39">
      <w:pPr>
        <w:pStyle w:val="Ttulo3"/>
        <w:numPr>
          <w:ilvl w:val="2"/>
          <w:numId w:val="9"/>
        </w:numPr>
        <w:spacing w:line="360" w:lineRule="auto"/>
      </w:pPr>
      <w:bookmarkStart w:id="5" w:name="_heading=h.aypvmbp6n75y" w:colFirst="0" w:colLast="0"/>
      <w:bookmarkEnd w:id="5"/>
      <w:r>
        <w:t>Descripción del problema</w:t>
      </w:r>
    </w:p>
    <w:p w14:paraId="0000011A" w14:textId="77777777" w:rsidR="00663CDF" w:rsidRDefault="00663CDF">
      <w:pPr>
        <w:pStyle w:val="Normal0"/>
        <w:spacing w:line="360" w:lineRule="auto"/>
      </w:pPr>
    </w:p>
    <w:p w14:paraId="0000011B" w14:textId="77777777" w:rsidR="00663CDF" w:rsidRDefault="00F71B39">
      <w:pPr>
        <w:pStyle w:val="Normal0"/>
        <w:spacing w:after="160" w:line="360" w:lineRule="auto"/>
      </w:pPr>
      <w:r>
        <w:t>El municipio de Turbaco ha experimentado transformaciones significativas en su gestión pública y estructura administrativa a raíz del proceso de descentralización y la recategorización municipal. Sin embargo, estas modificaciones no han representado necesariamente una mejora en la calidad de vida de sus habitantes ni en la eficiencia del gobierno local, no obstante que la categorización municipal debería facilitar avances hacia una mayor autonomía fiscal y el incremento en su capacidad de inversión. La recategorización del municipio ha generado expectativas en torno a lograr niveles de autonomía financiera y administrativa, como base de la gestión para el desarrollo territorial- traducido en el acceso al goce efectivo de los derechos de la población-; pero la realidad expone que la dependencia de las transferencias de la nación, sigue siendo un factor determinante en la asignación y ejecución de los recursos públicos.</w:t>
      </w:r>
    </w:p>
    <w:p w14:paraId="0000011C" w14:textId="77777777" w:rsidR="00663CDF" w:rsidRDefault="00F71B39">
      <w:pPr>
        <w:pStyle w:val="Normal0"/>
        <w:spacing w:after="160" w:line="360" w:lineRule="auto"/>
      </w:pPr>
      <w:r>
        <w:t xml:space="preserve">La descentralización política, fiscal y administrativa en Colombia ha sido impulsada como una estrategia para fortalecer la capacidad de gestión de los gobiernos locales, delegando responsabilidades que antes eran competencia del nivel central. Sin embargo, este proceso también impone desafíos administrativos y financieros, particularmente en municipios de categoría Tres (3) como Turbaco, donde los ingresos propios siguen siendo insuficientes y la dependencia de transferencias del Sistema General de Participaciones (SGP) continúa siendo alta. A pesar que la categorización debería reflejar una mayor capacidad fiscal y de gestión pública, en la realidad se observa que muchas decisiones estratégicas de inversión siguen condicionadas por la asignación de recursos externos y las restricciones fiscales establecidas por la Ley 617 del año 2000. </w:t>
      </w:r>
    </w:p>
    <w:p w14:paraId="0000011D" w14:textId="77777777" w:rsidR="00663CDF" w:rsidRDefault="00F71B39">
      <w:pPr>
        <w:pStyle w:val="Normal0"/>
        <w:spacing w:line="360" w:lineRule="auto"/>
      </w:pPr>
      <w:r>
        <w:lastRenderedPageBreak/>
        <w:t>Una breve reseña sobre el municipio indica que está ubicado al sur de Cartagena, a 10 Kilómetros aproximadamente, según las estimaciones del DANE (2024) para el año 2023, cuenta con una población de 114,716 habitantes, de los cuales 58.061 son mujeres, es decir el 50.6%, y por otra parte 56.655 son hombres, equivalente al 49.4% del total. Al revisar la distribución por grupos etarios se refleja una estructura poblacional diversa, en donde el 23.9% de la población corresponde a niños de 0 a 14 años, el 18.6% a jóvenes de 15 a 24 años, el 49.5% a adultos de 25 a 64 años, y el 8.0% a adultos mayores de 65 años en adelante. Esta distribución etaria es clave para comprender las dinámicas demográficas y las necesidades específicas de cada grupo en términos de políticas programas y servicios.</w:t>
      </w:r>
    </w:p>
    <w:p w14:paraId="0000011E" w14:textId="77777777" w:rsidR="00663CDF" w:rsidRDefault="00663CDF">
      <w:pPr>
        <w:pStyle w:val="Normal0"/>
        <w:spacing w:after="160" w:line="360" w:lineRule="auto"/>
      </w:pPr>
    </w:p>
    <w:p w14:paraId="0000011F" w14:textId="77777777" w:rsidR="00663CDF" w:rsidRDefault="00F71B39">
      <w:pPr>
        <w:pStyle w:val="Normal0"/>
        <w:spacing w:after="160" w:line="360" w:lineRule="auto"/>
      </w:pPr>
      <w:r>
        <w:t>Es de resaltar como limitante una real desconexión entre la nueva clasificación administrativa del municipio y su verdadera capacidad de planificación y ejecución de políticas públicas, lo cual se evidencia en el aumento de la población municipal asociado a una expansión urbana considerable</w:t>
      </w:r>
      <w:r>
        <w:rPr>
          <w:vertAlign w:val="superscript"/>
        </w:rPr>
        <w:footnoteReference w:id="1"/>
      </w:r>
      <w:r>
        <w:t>, y la recategorización no ha significado un fortalecimiento automático de su estructura fiscal. En ese sentido, el municipio ha enfrentado dificultades para la administración de sus recursos debido a las restricciones impuestas por la categorización, tales como limitar la cantidad de ingresos destinado a gastos de funcionamiento e inversión social. En otras palabras, si bien la descentralización ha otorgado mayor autonomía a los entes territoriales, en la práctica, muchos municipios de categoría 3 siguen dependiendo en gran medida de las transferencias del Sistema General de Participaciones (SGP), generando una brecha entre las necesidades locales y la disponibilidad de recursos.</w:t>
      </w:r>
    </w:p>
    <w:p w14:paraId="00000120" w14:textId="77777777" w:rsidR="00663CDF" w:rsidRDefault="00F71B39">
      <w:pPr>
        <w:pStyle w:val="Normal0"/>
        <w:spacing w:after="160" w:line="360" w:lineRule="auto"/>
      </w:pPr>
      <w:r>
        <w:t xml:space="preserve">El fenómeno descrito genera efectos directos para la prestación de servicios públicos esenciales, tales como: educación, salud, saneamiento básico y acceso al agua potable, los cuales siguen presentando rezagos en su cobertura, afectando la </w:t>
      </w:r>
      <w:r>
        <w:lastRenderedPageBreak/>
        <w:t>calidad de vida de los habitantes de Turbaco, especialmente en las zonas rurales. De acuerdo con la información técnica disponible de la Superintendencia de Servicios Públicos Domiciliarios (2014), la cobertura del servicio de acueducto en la zona urbana de Turbaco alcanza el 66,99%, con una continuidad de 14 horas al día y una calidad del agua que no representa riesgo sanitario (IRCA 2,14%). Sin embargo, el Plan de Desarrollo 2016–2019 advierte que esta cobertura implica que más de 24.000 hogares aún carecen del servicio</w:t>
      </w:r>
      <w:r>
        <w:rPr>
          <w:vertAlign w:val="superscript"/>
        </w:rPr>
        <w:footnoteReference w:id="2"/>
      </w:r>
      <w:r>
        <w:t xml:space="preserve">. En las zonas rurales, la situación es más crítica: la cobertura de acueducto es apenas del 3,3%, según datos del Sisbén. En sectores como Cañaveral, el agua se distribuye a través de un pozo perforado y una bomba, cuyo caudal (1,5 l/s) resulta insuficiente para la demanda actual, por lo que se suministra de forma sectorizada. </w:t>
      </w:r>
    </w:p>
    <w:p w14:paraId="00000121" w14:textId="77777777" w:rsidR="00663CDF" w:rsidRDefault="00F71B39">
      <w:pPr>
        <w:pStyle w:val="Normal0"/>
        <w:spacing w:after="160" w:line="360" w:lineRule="auto"/>
      </w:pPr>
      <w:r>
        <w:t>En San José de Chiquito, el sistema de abastecimiento basado en aguas lluvias y bombeo hacia una planta de tratamiento se encuentra fuera de operación. Además, en la vereda Aguas Prietas no existe ningún tipo de suministro de agua potable. En contraste, algunos sectores ubicados en la zona de conurbación con Cartagena reciben el servicio por parte de la empresa Aguas de Cartagena. Esta disparidad territorial en el acceso al agua potable evidencia las brechas en la prestación del servicio y la necesidad de una intervención integral en la infraestructura sanitaria e hidráulica del municipio; es decir, en este aspecto, se evidencia la persistencia de desigualdades estructurales para la distribución de los recursos y la ejecución de proyectos de infraestructura, afectando la calidad de vida de la población, sino que comprometen la capacidad del municipio para garantizar un desarrollo sostenible e inclusivo.</w:t>
      </w:r>
    </w:p>
    <w:p w14:paraId="00000122" w14:textId="77777777" w:rsidR="00663CDF" w:rsidRDefault="00F71B39">
      <w:pPr>
        <w:pStyle w:val="Normal0"/>
        <w:spacing w:after="160" w:line="360" w:lineRule="auto"/>
      </w:pPr>
      <w:r>
        <w:t xml:space="preserve">En el sector educativo de Turbaco se reconocen desafíos estructurales persistentes en términos de cobertura, deserción y calidad, especialmente en educación media. </w:t>
      </w:r>
      <w:r>
        <w:lastRenderedPageBreak/>
        <w:t>Para el año 2019, la cobertura neta en educación media fue del 46,0%, con una cobertura bruta del 83,8%, lo cual implica que más del 54% de los jóvenes entre 15 y 17 años no estaban matriculados en instituciones oficiales, equivalentes a 3.574 adolescentes (Alcaldía de Turbaco, 2016, p. 51). La situación mejora en los niveles previos: en primaria la cobertura neta fue del 91,3% y en secundaria del 78,7%, aunque persisten brechas importantes, con 587 niños y niñas fuera del sistema en primaria y 1.433 en secundaria (Alcaldía de Turbaco, 2016, p. 50).</w:t>
      </w:r>
    </w:p>
    <w:p w14:paraId="00000123" w14:textId="77777777" w:rsidR="00663CDF" w:rsidRDefault="00F71B39">
      <w:pPr>
        <w:pStyle w:val="Normal0"/>
        <w:spacing w:after="160" w:line="360" w:lineRule="auto"/>
      </w:pPr>
      <w:r>
        <w:t xml:space="preserve">El Anexo de Diagnóstico Municipal 2020 mostró una tendencia fluctuante en las matrículas oficiales, pasando de 13.263 estudiantes en 2016 a 13.659 en 2020, sin lograr consolidar un crecimiento sostenido (Alcaldía de Turbaco, 2020, p. 19). A ello se suman altos niveles de deserción: solo en el año 2020, cuatro instituciones educativas reportaron un total conjunto de 221 estudiantes desertores (Alcaldía de Turbaco, 2020, p. 20). Estas cifras reflejan una desconexión entre la oferta y la permanencia escolar, influenciada por la situación económica de las familias, la falta de infraestructura, y la ausencia de certificación del municipio para manejar directamente el sector educativo (Alcaldía de Turbaco, 2020, p. 23).    </w:t>
      </w:r>
    </w:p>
    <w:p w14:paraId="00000124" w14:textId="77777777" w:rsidR="00663CDF" w:rsidRDefault="00F71B39">
      <w:pPr>
        <w:pStyle w:val="Normal0"/>
        <w:spacing w:after="160" w:line="360" w:lineRule="auto"/>
      </w:pPr>
      <w:r>
        <w:t>Otro aspecto relevante es la relación entre la recategorización y la capacidad de generación de ingresos propios. Aunque el municipio ha registrado un leve incremento en el recaudo del impuesto predial y el impuesto de industria y comercio (ICA), estos recursos siguen sin ser suficientes para reducir la dependencia de las transferencias nacionales. En muchos casos, la normativa vigente establece límites estrictos al incremento de los ingresos propios, lo que restringe la posibilidad de que los municipios fortalezcan su autonomía fiscal. Además, la estructura de ingresos del municipio se ha visto afectada por la aplicación de exenciones y beneficios tributarios contemplados en el Acuerdo N° 012 del 27 de septiembre de 2016, que adopta el Estatuto Tributario del Municipio de Turbaco. Esto ha limitado la capacidad de recaudo del municipio y ha dificultado la implementación de políticas que permitan fortalecer la inversión en infraestructura y programas sociales.</w:t>
      </w:r>
    </w:p>
    <w:p w14:paraId="00000125" w14:textId="77777777" w:rsidR="00663CDF" w:rsidRDefault="00F71B39">
      <w:pPr>
        <w:pStyle w:val="Normal0"/>
        <w:spacing w:after="160" w:line="360" w:lineRule="auto"/>
      </w:pPr>
      <w:r>
        <w:lastRenderedPageBreak/>
        <w:t>El crecimiento urbano desordenado es otro de los factores que agrava la situación, en donde la expansión de asentamientos informales sin una adecuada planificación ha generado déficits en infraestructura básica, con sectores donde el acceso a servicios públicos es precario. Este crecimiento no planificado ha generado un aumento en la demanda de servicios sin una correspondiente ampliación de la capacidad de la administración municipal para responder de manera eficiente. Es innegable que la persistencia de una planificación territorial efectiva ha derivado en una proliferación de viviendas en zonas de alto riesgo, con problemas de acceso a vías, transporte y servicios públicos. En otras palabras, la recategorización no ha significado un avance sustancial en la mejora de la calidad de vida de la población ni en la capacidad del municipio para gestionar de manera eficiente su desarrollo territorial.</w:t>
      </w:r>
    </w:p>
    <w:p w14:paraId="00000126" w14:textId="77777777" w:rsidR="00663CDF" w:rsidRDefault="00F71B39">
      <w:pPr>
        <w:pStyle w:val="Normal0"/>
        <w:spacing w:after="160" w:line="360" w:lineRule="auto"/>
      </w:pPr>
      <w:r>
        <w:t>El mercado laboral también refleja las dificultades estructurales del municipio. A pesar de los esfuerzos por diversificar la economía local, la tasa de desempleo continúa siendo superior al promedio nacional, especialmente entre la población joven. La informalidad laboral es una de las principales problemáticas, ya que gran parte de la población económicamente activa se encuentra en sectores con bajos niveles de formalización, lo que limita su acceso a seguridad social y otros beneficios laborales. Esta situación se evidencia en los niveles de afiliación al régimen subsidiado de salud, reflejados por los grupos poblacionales clasificados en el Sisbén. Según el informe final del Sisbén del Municipio de Turbaco para el año 2023, el 68,8 % de la población estaba registrada en los grupos A y B del Sisbén IV, lo que indica altos niveles de vulnerabilidad económica y una dependencia significativa del empleo informal. La falta de inversión en sectores estratégicos ha impedido un crecimiento sostenido del empleo formal, lo que refuerza la idea de que la recategorización, por sí sola, no ha sido suficiente para generar un desarrollo económico sostenible en el municipio.</w:t>
      </w:r>
    </w:p>
    <w:p w14:paraId="00000127" w14:textId="77777777" w:rsidR="00663CDF" w:rsidRDefault="00F71B39">
      <w:pPr>
        <w:pStyle w:val="Normal0"/>
        <w:spacing w:after="160" w:line="360" w:lineRule="auto"/>
      </w:pPr>
      <w:r>
        <w:t xml:space="preserve">Otro factor que considerar es el endeudamiento municipal. En un esfuerzo por compensar la falta de recursos propios, algunos gobiernos locales han recurrido al </w:t>
      </w:r>
      <w:r>
        <w:lastRenderedPageBreak/>
        <w:t>endeudamiento como estrategia para financiar proyectos de inversión. Sin embargo, esto plantea riesgos a largo plazo, ya que un alto nivel de endeudamiento puede comprometer la sostenibilidad fiscal del municipio y limitar su capacidad de inversión en el futuro. En el caso de Turbaco, el incremento del endeudamiento en algunos periodos ha sido una medida para suplir las deficiencias en la generación de ingresos propios, pero sin una estrategia clara de fortalecimiento fiscal que permita garantizar la sostenibilidad de las finanzas municipales.</w:t>
      </w:r>
    </w:p>
    <w:p w14:paraId="00000128" w14:textId="77777777" w:rsidR="00663CDF" w:rsidRDefault="00F71B39">
      <w:pPr>
        <w:pStyle w:val="Normal0"/>
        <w:spacing w:after="160" w:line="360" w:lineRule="auto"/>
      </w:pPr>
      <w:r>
        <w:t>A partir de este análisis, surgen diversas preguntas fundamentales: ¿hasta qué punto la recategorización ha permitido fortalecer la gestión fiscal y administrativa del municipio? ¿Ha incidido en la satisfacción de las necesidades básicas de la población o simplemente ha sido un cambio de clasificación sin efectos reales en la distribución de los recursos? ¿De qué manera la categorización municipal ha impactado la capacidad de gestión del municipio en términos de planificación, ejecución y control de políticas públicas? ¿Cómo ha influido la descentralización en la generación de ingresos propios y en la autonomía fiscal del municipio? Estas inquietudes requieren un análisis detallado para comprender el verdadero alcance de la categorización en la gestión territorial y en la calidad de vida de la población.</w:t>
      </w:r>
    </w:p>
    <w:p w14:paraId="00000129" w14:textId="77777777" w:rsidR="00663CDF" w:rsidRDefault="00F71B39">
      <w:pPr>
        <w:pStyle w:val="Normal0"/>
        <w:spacing w:after="160" w:line="360" w:lineRule="auto"/>
      </w:pPr>
      <w:r>
        <w:t xml:space="preserve">El análisis de la incidencia de la descentralización y la categorización en la gestión pública es fundamental para diseñar estrategias que permitan mejorar la eficiencia en el uso de los recursos y optimizar la prestación de servicios básicos. La experiencia de Turbaco permite evaluar la incidencia real de estas políticas en la gestión pública local y en la calidad de vida de los ciudadanos. Es necesario comprender si los mecanismos actuales de financiamiento y autonomía territorial están diseñados para responder eficazmente a las necesidades de los municipios o si, por el contrario, requieren ajustes para garantizar una distribución de recursos más equitativa y efectiva. </w:t>
      </w:r>
    </w:p>
    <w:p w14:paraId="0000012A" w14:textId="77777777" w:rsidR="00663CDF" w:rsidRDefault="00F71B39">
      <w:pPr>
        <w:pStyle w:val="Normal0"/>
        <w:spacing w:line="360" w:lineRule="auto"/>
      </w:pPr>
      <w:r>
        <w:t xml:space="preserve">Esta investigación busca examinar la relación entre la categorización municipal, la autonomía financiera y la capacidad de gestión pública en Turbaco, con el fin de </w:t>
      </w:r>
      <w:r>
        <w:lastRenderedPageBreak/>
        <w:t>identificar los retos y oportunidades que enfrenta el municipio en su desarrollo institucional</w:t>
      </w:r>
    </w:p>
    <w:p w14:paraId="0000012B" w14:textId="77777777" w:rsidR="00663CDF" w:rsidRDefault="00663CDF">
      <w:pPr>
        <w:pStyle w:val="Normal0"/>
        <w:spacing w:line="360" w:lineRule="auto"/>
      </w:pPr>
    </w:p>
    <w:p w14:paraId="0000012C" w14:textId="77777777" w:rsidR="00663CDF" w:rsidRDefault="00663CDF">
      <w:pPr>
        <w:pStyle w:val="Normal0"/>
        <w:spacing w:line="360" w:lineRule="auto"/>
      </w:pPr>
    </w:p>
    <w:p w14:paraId="0000012D" w14:textId="77777777" w:rsidR="00663CDF" w:rsidRDefault="00F71B39">
      <w:pPr>
        <w:pStyle w:val="Ttulo3"/>
        <w:spacing w:line="360" w:lineRule="auto"/>
      </w:pPr>
      <w:bookmarkStart w:id="6" w:name="_heading=h.8rajxsfga1ed" w:colFirst="0" w:colLast="0"/>
      <w:bookmarkEnd w:id="6"/>
      <w:r>
        <w:t>1.1.2. Formulación del Problema</w:t>
      </w:r>
    </w:p>
    <w:p w14:paraId="0000012E" w14:textId="77777777" w:rsidR="00663CDF" w:rsidRDefault="00663CDF">
      <w:pPr>
        <w:pStyle w:val="Normal0"/>
        <w:spacing w:line="360" w:lineRule="auto"/>
      </w:pPr>
    </w:p>
    <w:p w14:paraId="0000012F" w14:textId="77777777" w:rsidR="00663CDF" w:rsidRDefault="00F71B39">
      <w:pPr>
        <w:pStyle w:val="Normal0"/>
        <w:spacing w:line="360" w:lineRule="auto"/>
      </w:pPr>
      <w:r>
        <w:t xml:space="preserve">¿Cuáles son los retos y desafíos que el proceso de recategorización implica para la gestión pública en Turbaco, en cuanto a la producción de bienes y servicios para el bienestar de la población, en el marco de la descentralización político-administrativa? </w:t>
      </w:r>
    </w:p>
    <w:p w14:paraId="00000130" w14:textId="77777777" w:rsidR="00663CDF" w:rsidRDefault="00663CDF">
      <w:pPr>
        <w:pStyle w:val="Normal0"/>
        <w:spacing w:line="360" w:lineRule="auto"/>
      </w:pPr>
    </w:p>
    <w:p w14:paraId="00000131" w14:textId="77777777" w:rsidR="00663CDF" w:rsidRDefault="00F71B39">
      <w:pPr>
        <w:pStyle w:val="Ttulo2"/>
        <w:numPr>
          <w:ilvl w:val="1"/>
          <w:numId w:val="9"/>
        </w:numPr>
        <w:spacing w:line="360" w:lineRule="auto"/>
        <w:ind w:left="567" w:hanging="567"/>
      </w:pPr>
      <w:bookmarkStart w:id="7" w:name="_heading=h.ntpex8dm202g" w:colFirst="0" w:colLast="0"/>
      <w:bookmarkEnd w:id="7"/>
      <w:r>
        <w:t>JUSTIFICACIÓN</w:t>
      </w:r>
    </w:p>
    <w:p w14:paraId="00000132" w14:textId="77777777" w:rsidR="00663CDF" w:rsidRDefault="00663CDF">
      <w:pPr>
        <w:pStyle w:val="Normal0"/>
        <w:spacing w:line="360" w:lineRule="auto"/>
      </w:pPr>
    </w:p>
    <w:p w14:paraId="00000133" w14:textId="77777777" w:rsidR="00663CDF" w:rsidRDefault="00F71B39">
      <w:pPr>
        <w:pStyle w:val="Normal0"/>
        <w:spacing w:line="360" w:lineRule="auto"/>
      </w:pPr>
      <w:r>
        <w:t>La presente investigación reviste una importancia fundamental para el municipio de Turbaco, Bolívar, no solo desde una perspectiva académica y profesional, sino también como una contribución al fortalecimiento de la gestión pública local.</w:t>
      </w:r>
    </w:p>
    <w:p w14:paraId="00000134" w14:textId="77777777" w:rsidR="00663CDF" w:rsidRDefault="00663CDF">
      <w:pPr>
        <w:pStyle w:val="Normal0"/>
        <w:spacing w:line="360" w:lineRule="auto"/>
      </w:pPr>
    </w:p>
    <w:p w14:paraId="00000135" w14:textId="77777777" w:rsidR="00663CDF" w:rsidRDefault="00F71B39">
      <w:pPr>
        <w:pStyle w:val="Normal0"/>
        <w:spacing w:line="360" w:lineRule="auto"/>
      </w:pPr>
      <w:r>
        <w:t>La descentralización en América Latina ha sido un proceso clave en la transformación de los Estados, en respuesta a la necesidad de mejorar la eficiencia en la provisión de bienes y servicios públicos y fortalecer la participación ciudadana en la toma de decisiones. Este fenómeno ha estado acompañado por un creciente traslado de competencias y recursos a los gobiernos subnacionales, con el objetivo de reducir disparidades regionales y promover el desarrollo local (Martínez-Vázquez &amp; Timofeev, 2010).</w:t>
      </w:r>
    </w:p>
    <w:p w14:paraId="00000136" w14:textId="77777777" w:rsidR="00663CDF" w:rsidRDefault="00663CDF">
      <w:pPr>
        <w:pStyle w:val="Normal0"/>
        <w:spacing w:line="360" w:lineRule="auto"/>
      </w:pPr>
    </w:p>
    <w:p w14:paraId="00000137" w14:textId="77777777" w:rsidR="00663CDF" w:rsidRDefault="00F71B39">
      <w:pPr>
        <w:pStyle w:val="Normal0"/>
        <w:spacing w:line="360" w:lineRule="auto"/>
      </w:pPr>
      <w:r>
        <w:t>Sin embargo, la descentralización fiscal ha generado retos significativos. En muchos países, las transferencias nacionales siguen siendo la principal fuente de financiamiento de los municipios, lo que limita su autonomía real y los deja vulnerables a cambios en las políticas nacionales. Al respecto, un informe sobre descentralización fiscal en la región señala que:</w:t>
      </w:r>
    </w:p>
    <w:p w14:paraId="00000138" w14:textId="77777777" w:rsidR="00663CDF" w:rsidRDefault="00663CDF">
      <w:pPr>
        <w:pStyle w:val="Normal0"/>
        <w:spacing w:line="360" w:lineRule="auto"/>
      </w:pPr>
    </w:p>
    <w:p w14:paraId="00000139" w14:textId="77777777" w:rsidR="00663CDF" w:rsidRDefault="00F71B39">
      <w:pPr>
        <w:pStyle w:val="Normal0"/>
        <w:spacing w:line="360" w:lineRule="auto"/>
        <w:ind w:left="284"/>
        <w:rPr>
          <w:i/>
          <w:sz w:val="22"/>
          <w:szCs w:val="22"/>
        </w:rPr>
      </w:pPr>
      <w:r>
        <w:rPr>
          <w:i/>
          <w:sz w:val="22"/>
          <w:szCs w:val="22"/>
        </w:rPr>
        <w:t>"Desde hacía décadas, el financiamiento subnacional en México estaba garantizado por las transferencias del gobierno central y el sistema financiero se acostumbró a recurrir al gobierno federal cuando los gobiernos locales incumplían sus obligaciones [...] En Colombia, las mayores transferencias sirvieron, sobre todo en 1994 y 1995, para apalancar el endeudamiento territorial, provocando el sobreendeudamiento de algunas entidades locales y, al final, distorsiones macroeconómicas".</w:t>
      </w:r>
    </w:p>
    <w:p w14:paraId="0000013A" w14:textId="77777777" w:rsidR="00663CDF" w:rsidRDefault="00663CDF">
      <w:pPr>
        <w:pStyle w:val="Normal0"/>
        <w:spacing w:line="360" w:lineRule="auto"/>
        <w:ind w:left="284"/>
        <w:rPr>
          <w:i/>
        </w:rPr>
      </w:pPr>
    </w:p>
    <w:p w14:paraId="0000013B" w14:textId="77777777" w:rsidR="00663CDF" w:rsidRDefault="00F71B39">
      <w:pPr>
        <w:pStyle w:val="Normal0"/>
        <w:spacing w:line="360" w:lineRule="auto"/>
      </w:pPr>
      <w:r>
        <w:t xml:space="preserve">En la misma sintonía que los demás países de América latina, Colombia ha le apuesta a la descentralización desde la Constitución de 1991, la cual estableció el modelo de autonomía territorial, la descentralización administrativa y fiscal que ha permitido la transferencia de competencias a los municipios, otorgándoles la responsabilidad de gestionar sectores clave como educación, salud, infraestructura y desarrollo social (DNP, 2020). Sin embargo, este proceso ha presentado desafíos relacionados con la dependencia financiera de los entes territoriales respecto a las transferencias de la Nación y con la capacidad institucional para administrar recursos de manera eficiente. </w:t>
      </w:r>
    </w:p>
    <w:p w14:paraId="0000013C" w14:textId="77777777" w:rsidR="00663CDF" w:rsidRDefault="00663CDF">
      <w:pPr>
        <w:pStyle w:val="Normal0"/>
        <w:spacing w:line="360" w:lineRule="auto"/>
      </w:pPr>
    </w:p>
    <w:p w14:paraId="0000013D" w14:textId="77777777" w:rsidR="00663CDF" w:rsidRDefault="00F71B39">
      <w:pPr>
        <w:pStyle w:val="Normal0"/>
        <w:spacing w:line="360" w:lineRule="auto"/>
      </w:pPr>
      <w:r>
        <w:t xml:space="preserve">De acuerdo con el documento </w:t>
      </w:r>
      <w:r>
        <w:rPr>
          <w:i/>
        </w:rPr>
        <w:t>La descentralización administrativa en Colombia</w:t>
      </w:r>
      <w:r>
        <w:t xml:space="preserve"> (2022), el proceso de descentralización en el país se ha basado en tres pilares fundamentales: autonomía política, autonomía fiscal y autonomía administrativa. No obstante, las limitaciones en la capacidad técnica de algunos municipios y la escasez de recursos propios han condicionado la efectividad de la descentralización, afectando la calidad de los servicios públicos.</w:t>
      </w:r>
    </w:p>
    <w:p w14:paraId="0000013E" w14:textId="77777777" w:rsidR="00663CDF" w:rsidRDefault="00663CDF">
      <w:pPr>
        <w:pStyle w:val="Normal0"/>
        <w:spacing w:line="360" w:lineRule="auto"/>
        <w:rPr>
          <w:b/>
        </w:rPr>
      </w:pPr>
    </w:p>
    <w:p w14:paraId="0000013F" w14:textId="77777777" w:rsidR="00663CDF" w:rsidRDefault="00F71B39">
      <w:pPr>
        <w:pStyle w:val="Normal0"/>
        <w:spacing w:line="360" w:lineRule="auto"/>
      </w:pPr>
      <w:r>
        <w:t xml:space="preserve">La descentralización fiscal ha permitido a Turbaco una mayor autonomía en la toma de decisiones, pero también ha evidenciado limitaciones en la movilización de recursos, a través del análisis de los efectos de la recategorización y de la gestión de los ingresos corrientes de libre destinación (ICLD), esta investigación proporciona recomendaciones estratégicas para optimizar la administración </w:t>
      </w:r>
      <w:r>
        <w:lastRenderedPageBreak/>
        <w:t>financiera municipal, garantizando una mayor incidencia social y económico. El examen detallado de los datos financieros del municipio entre 2016 y 2023 ha manifestado cómo la recategorización ha generado presiones significativas en la administración pública, especialmente en términos de mantener los gastos de funcionamiento dentro de los límites establecidos por la Ley 617 de 2000, por ejemplo, el porcentaje de cubrimiento de los gastos de funcionamiento ha oscilado entre el 61% y el 80%, reflejando tanto desafíos como logros en la gestión fiscal del municipio de Turbaco.</w:t>
      </w:r>
    </w:p>
    <w:p w14:paraId="00000140" w14:textId="77777777" w:rsidR="00663CDF" w:rsidRDefault="00663CDF">
      <w:pPr>
        <w:pStyle w:val="Normal0"/>
        <w:spacing w:line="360" w:lineRule="auto"/>
        <w:rPr>
          <w:b/>
        </w:rPr>
      </w:pPr>
    </w:p>
    <w:p w14:paraId="00000141" w14:textId="77777777" w:rsidR="00663CDF" w:rsidRDefault="00F71B39">
      <w:pPr>
        <w:pStyle w:val="Normal0"/>
        <w:spacing w:line="360" w:lineRule="auto"/>
      </w:pPr>
      <w:r>
        <w:t>Desde una perspectiva personal y profesional, este estudio permite aplicar de manera rigurosa los conocimientos adquiridos en la Maestría en Desarrollo Territorial y Gestión Pública, con énfasis en gestión fiscal, administración territorial y descentralización. La investigación sobre la incidencia de la recategorización municipal y la aplicación de la Ley 617 de 2000 en Turbaco fortalece habilidades en análisis financiero, planeación estratégica y evaluación de políticas públicas, elementos cruciales para un ejercicio profesional eficaz dentro del sector público. Además, contribuye al desarrollo de herramientas de evaluación que pueden ser utilizadas en otros contextos municipales con características similares.</w:t>
      </w:r>
    </w:p>
    <w:p w14:paraId="00000142" w14:textId="77777777" w:rsidR="00663CDF" w:rsidRDefault="00663CDF">
      <w:pPr>
        <w:pStyle w:val="Normal0"/>
        <w:spacing w:line="360" w:lineRule="auto"/>
      </w:pPr>
    </w:p>
    <w:p w14:paraId="00000143" w14:textId="77777777" w:rsidR="00663CDF" w:rsidRDefault="00F71B39">
      <w:pPr>
        <w:pStyle w:val="Normal0"/>
        <w:spacing w:line="360" w:lineRule="auto"/>
      </w:pPr>
      <w:r>
        <w:t>En el ámbito académico, este estudio se alinea con las líneas de investigación del programa de maestría, particularmente en lo relacionado con la descentralización, autonomía fiscal y desarrollo local. El análisis detallado de la gestión fiscal del municipio de Turbaco entre 2016 y 2023 permitirá enriquecer el corpus académico, proporcionando un caso de estudio basado en evidencia empírica, lo cual servirá como referencia para futuras investigaciones y contribuirá al debate sobre los efectos de la categorización municipal en la eficiencia administrativa y financiera.</w:t>
      </w:r>
    </w:p>
    <w:p w14:paraId="00000144" w14:textId="77777777" w:rsidR="00663CDF" w:rsidRDefault="00663CDF">
      <w:pPr>
        <w:pStyle w:val="Normal0"/>
        <w:spacing w:line="360" w:lineRule="auto"/>
      </w:pPr>
    </w:p>
    <w:p w14:paraId="00000145" w14:textId="77777777" w:rsidR="00663CDF" w:rsidRDefault="00663CDF">
      <w:pPr>
        <w:pStyle w:val="Normal0"/>
        <w:spacing w:line="360" w:lineRule="auto"/>
      </w:pPr>
    </w:p>
    <w:p w14:paraId="00000146" w14:textId="77777777" w:rsidR="00663CDF" w:rsidRDefault="00663CDF">
      <w:pPr>
        <w:pStyle w:val="Normal0"/>
        <w:spacing w:line="360" w:lineRule="auto"/>
      </w:pPr>
    </w:p>
    <w:p w14:paraId="00000147" w14:textId="77777777" w:rsidR="00663CDF" w:rsidRDefault="00663CDF">
      <w:pPr>
        <w:pStyle w:val="Normal0"/>
        <w:spacing w:line="360" w:lineRule="auto"/>
      </w:pPr>
    </w:p>
    <w:p w14:paraId="00000148" w14:textId="77777777" w:rsidR="00663CDF" w:rsidRDefault="00663CDF">
      <w:pPr>
        <w:pStyle w:val="Normal0"/>
        <w:spacing w:line="360" w:lineRule="auto"/>
      </w:pPr>
    </w:p>
    <w:p w14:paraId="00000149" w14:textId="77777777" w:rsidR="00663CDF" w:rsidRDefault="00663CDF">
      <w:pPr>
        <w:pStyle w:val="Normal0"/>
        <w:spacing w:line="360" w:lineRule="auto"/>
      </w:pPr>
    </w:p>
    <w:p w14:paraId="0000014A" w14:textId="77777777" w:rsidR="00663CDF" w:rsidRDefault="00663CDF">
      <w:pPr>
        <w:pStyle w:val="Normal0"/>
        <w:spacing w:line="360" w:lineRule="auto"/>
      </w:pPr>
    </w:p>
    <w:p w14:paraId="0000014B" w14:textId="77777777" w:rsidR="00663CDF" w:rsidRDefault="00F71B39">
      <w:pPr>
        <w:pStyle w:val="Ttulo2"/>
        <w:numPr>
          <w:ilvl w:val="1"/>
          <w:numId w:val="9"/>
        </w:numPr>
        <w:spacing w:line="360" w:lineRule="auto"/>
        <w:ind w:left="567" w:hanging="567"/>
      </w:pPr>
      <w:bookmarkStart w:id="8" w:name="_heading=h.4k6dpprqdpzu" w:colFirst="0" w:colLast="0"/>
      <w:bookmarkEnd w:id="8"/>
      <w:r>
        <w:t>OBJETIVOS</w:t>
      </w:r>
    </w:p>
    <w:p w14:paraId="0000014C" w14:textId="77777777" w:rsidR="00663CDF" w:rsidRDefault="00663CDF">
      <w:pPr>
        <w:pStyle w:val="Normal0"/>
        <w:pBdr>
          <w:top w:val="nil"/>
          <w:left w:val="nil"/>
          <w:bottom w:val="nil"/>
          <w:right w:val="nil"/>
          <w:between w:val="nil"/>
        </w:pBdr>
        <w:spacing w:line="360" w:lineRule="auto"/>
        <w:ind w:left="720"/>
        <w:rPr>
          <w:color w:val="000000"/>
        </w:rPr>
      </w:pPr>
    </w:p>
    <w:p w14:paraId="0000014D" w14:textId="77777777" w:rsidR="00663CDF" w:rsidRDefault="00F71B39">
      <w:pPr>
        <w:pStyle w:val="Ttulo3"/>
        <w:numPr>
          <w:ilvl w:val="2"/>
          <w:numId w:val="9"/>
        </w:numPr>
        <w:spacing w:line="360" w:lineRule="auto"/>
        <w:ind w:left="709" w:hanging="709"/>
      </w:pPr>
      <w:bookmarkStart w:id="9" w:name="_heading=h.uwfdaaeil5j3" w:colFirst="0" w:colLast="0"/>
      <w:bookmarkEnd w:id="9"/>
      <w:r>
        <w:t>Objetivo General</w:t>
      </w:r>
    </w:p>
    <w:p w14:paraId="0000014E" w14:textId="77777777" w:rsidR="00663CDF" w:rsidRDefault="00663CDF">
      <w:pPr>
        <w:pStyle w:val="Normal0"/>
        <w:spacing w:line="360" w:lineRule="auto"/>
      </w:pPr>
    </w:p>
    <w:p w14:paraId="0000014F" w14:textId="77777777" w:rsidR="00663CDF" w:rsidRDefault="00F71B39">
      <w:pPr>
        <w:pStyle w:val="Normal0"/>
        <w:spacing w:line="360" w:lineRule="auto"/>
        <w:rPr>
          <w:b/>
        </w:rPr>
      </w:pPr>
      <w:r>
        <w:t>Analizar los procesos, políticas y acciones desde la gestión pública territorial como fundamento para articular la categorización y la descentralización en la producción de bienes y servicios, que contribuyan a la calidad de vida de la población de Turbaco en los años 2016--2023</w:t>
      </w:r>
    </w:p>
    <w:p w14:paraId="00000150" w14:textId="77777777" w:rsidR="00663CDF" w:rsidRDefault="00663CDF">
      <w:pPr>
        <w:pStyle w:val="Normal0"/>
        <w:spacing w:line="360" w:lineRule="auto"/>
      </w:pPr>
    </w:p>
    <w:p w14:paraId="00000151" w14:textId="77777777" w:rsidR="00663CDF" w:rsidRDefault="00F71B39">
      <w:pPr>
        <w:pStyle w:val="Ttulo3"/>
        <w:numPr>
          <w:ilvl w:val="2"/>
          <w:numId w:val="9"/>
        </w:numPr>
        <w:spacing w:line="360" w:lineRule="auto"/>
        <w:ind w:left="709" w:hanging="709"/>
      </w:pPr>
      <w:bookmarkStart w:id="10" w:name="_heading=h.ihhso7cqthny" w:colFirst="0" w:colLast="0"/>
      <w:bookmarkEnd w:id="10"/>
      <w:r>
        <w:t>Objetivos Específicos</w:t>
      </w:r>
    </w:p>
    <w:p w14:paraId="00000152" w14:textId="77777777" w:rsidR="00663CDF" w:rsidRDefault="00663CDF">
      <w:pPr>
        <w:pStyle w:val="Normal0"/>
        <w:spacing w:line="360" w:lineRule="auto"/>
      </w:pPr>
    </w:p>
    <w:p w14:paraId="00000153" w14:textId="77777777" w:rsidR="00663CDF" w:rsidRDefault="00F71B39">
      <w:pPr>
        <w:pStyle w:val="Normal0"/>
        <w:numPr>
          <w:ilvl w:val="0"/>
          <w:numId w:val="19"/>
        </w:numPr>
        <w:pBdr>
          <w:top w:val="nil"/>
          <w:left w:val="nil"/>
          <w:bottom w:val="nil"/>
          <w:right w:val="nil"/>
          <w:between w:val="nil"/>
        </w:pBdr>
        <w:spacing w:line="360" w:lineRule="auto"/>
        <w:ind w:left="709" w:hanging="284"/>
        <w:rPr>
          <w:color w:val="000000"/>
        </w:rPr>
      </w:pPr>
      <w:r>
        <w:rPr>
          <w:color w:val="000000"/>
        </w:rPr>
        <w:t xml:space="preserve">Examinar los cambios en la estructura organizacional de la administración territorial, a partir de la categorización municipal, específicamente la gestión fiscal y administrativa, para establecer su incidencia en cuanto al desarrollo y bienestar de la población  </w:t>
      </w:r>
    </w:p>
    <w:p w14:paraId="00000154" w14:textId="77777777" w:rsidR="00663CDF" w:rsidRDefault="00663CDF">
      <w:pPr>
        <w:pStyle w:val="Normal0"/>
        <w:spacing w:line="360" w:lineRule="auto"/>
        <w:ind w:left="709"/>
      </w:pPr>
    </w:p>
    <w:p w14:paraId="00000155" w14:textId="77777777" w:rsidR="00663CDF" w:rsidRDefault="00F71B39">
      <w:pPr>
        <w:pStyle w:val="Normal0"/>
        <w:numPr>
          <w:ilvl w:val="0"/>
          <w:numId w:val="19"/>
        </w:numPr>
        <w:pBdr>
          <w:top w:val="nil"/>
          <w:left w:val="nil"/>
          <w:bottom w:val="nil"/>
          <w:right w:val="nil"/>
          <w:between w:val="nil"/>
        </w:pBdr>
        <w:spacing w:line="360" w:lineRule="auto"/>
        <w:ind w:left="709"/>
        <w:rPr>
          <w:color w:val="000000"/>
        </w:rPr>
      </w:pPr>
      <w:r>
        <w:rPr>
          <w:color w:val="000000"/>
        </w:rPr>
        <w:t xml:space="preserve">Establecer el nivel de cumplimiento en el uso de los recursos financieros y fiscales, frente a los mandatos constitucionales, durante el periodo 2016-2023, así como la producción de bienes y servicios en Turbaco, teniendo en cuenta la categorización municipal. </w:t>
      </w:r>
    </w:p>
    <w:p w14:paraId="00000156" w14:textId="77777777" w:rsidR="00663CDF" w:rsidRDefault="00663CDF">
      <w:pPr>
        <w:pStyle w:val="Normal0"/>
        <w:spacing w:line="360" w:lineRule="auto"/>
        <w:ind w:left="709" w:hanging="284"/>
      </w:pPr>
    </w:p>
    <w:p w14:paraId="00000157" w14:textId="77777777" w:rsidR="00663CDF" w:rsidRDefault="00F71B39">
      <w:pPr>
        <w:pStyle w:val="Normal0"/>
        <w:numPr>
          <w:ilvl w:val="0"/>
          <w:numId w:val="19"/>
        </w:numPr>
        <w:pBdr>
          <w:top w:val="nil"/>
          <w:left w:val="nil"/>
          <w:bottom w:val="nil"/>
          <w:right w:val="nil"/>
          <w:between w:val="nil"/>
        </w:pBdr>
        <w:spacing w:line="360" w:lineRule="auto"/>
        <w:ind w:left="709" w:hanging="284"/>
        <w:rPr>
          <w:color w:val="000000"/>
        </w:rPr>
      </w:pPr>
      <w:r>
        <w:rPr>
          <w:color w:val="000000"/>
        </w:rPr>
        <w:t xml:space="preserve">Formular recomendaciones que contribuyan a establecer criterios distintos a los ingresos y número de habitantes, para los procesos de categorización municipal, posibilitando mejoras en sistemas de organización, gobierno y administración para el desarrollo territorial.  </w:t>
      </w:r>
    </w:p>
    <w:p w14:paraId="00000158" w14:textId="77777777" w:rsidR="00663CDF" w:rsidRDefault="00663CDF">
      <w:pPr>
        <w:pStyle w:val="Normal0"/>
        <w:pBdr>
          <w:top w:val="nil"/>
          <w:left w:val="nil"/>
          <w:bottom w:val="nil"/>
          <w:right w:val="nil"/>
          <w:between w:val="nil"/>
        </w:pBdr>
        <w:spacing w:line="360" w:lineRule="auto"/>
        <w:ind w:left="720"/>
        <w:rPr>
          <w:color w:val="000000"/>
        </w:rPr>
      </w:pPr>
    </w:p>
    <w:p w14:paraId="00000159" w14:textId="77777777" w:rsidR="00663CDF" w:rsidRDefault="00663CDF">
      <w:pPr>
        <w:pStyle w:val="Normal0"/>
        <w:pBdr>
          <w:top w:val="nil"/>
          <w:left w:val="nil"/>
          <w:bottom w:val="nil"/>
          <w:right w:val="nil"/>
          <w:between w:val="nil"/>
        </w:pBdr>
        <w:spacing w:line="360" w:lineRule="auto"/>
        <w:ind w:left="720"/>
        <w:rPr>
          <w:color w:val="000000"/>
        </w:rPr>
      </w:pPr>
    </w:p>
    <w:p w14:paraId="0000015A" w14:textId="77777777" w:rsidR="00663CDF" w:rsidRDefault="00663CDF">
      <w:pPr>
        <w:pStyle w:val="Normal0"/>
        <w:spacing w:line="360" w:lineRule="auto"/>
      </w:pPr>
    </w:p>
    <w:p w14:paraId="0000015B" w14:textId="77777777" w:rsidR="00663CDF" w:rsidRDefault="00663CDF">
      <w:pPr>
        <w:pStyle w:val="Normal0"/>
        <w:spacing w:line="360" w:lineRule="auto"/>
      </w:pPr>
    </w:p>
    <w:p w14:paraId="0000015C" w14:textId="77777777" w:rsidR="00663CDF" w:rsidRDefault="00F71B39">
      <w:pPr>
        <w:pStyle w:val="Ttulo2"/>
        <w:numPr>
          <w:ilvl w:val="1"/>
          <w:numId w:val="9"/>
        </w:numPr>
        <w:spacing w:line="360" w:lineRule="auto"/>
        <w:ind w:left="567" w:hanging="567"/>
      </w:pPr>
      <w:bookmarkStart w:id="11" w:name="_heading=h.gyq3mxlxt6tu" w:colFirst="0" w:colLast="0"/>
      <w:bookmarkEnd w:id="11"/>
      <w:r>
        <w:t>METODOLOGÍA</w:t>
      </w:r>
    </w:p>
    <w:p w14:paraId="0000015D" w14:textId="77777777" w:rsidR="00663CDF" w:rsidRDefault="00663CDF">
      <w:pPr>
        <w:pStyle w:val="Normal0"/>
        <w:spacing w:line="360" w:lineRule="auto"/>
      </w:pPr>
    </w:p>
    <w:p w14:paraId="0000015E" w14:textId="77777777" w:rsidR="00663CDF" w:rsidRDefault="00F71B39">
      <w:pPr>
        <w:pStyle w:val="Ttulo3"/>
        <w:numPr>
          <w:ilvl w:val="2"/>
          <w:numId w:val="9"/>
        </w:numPr>
        <w:spacing w:line="360" w:lineRule="auto"/>
        <w:ind w:left="709" w:hanging="709"/>
      </w:pPr>
      <w:bookmarkStart w:id="12" w:name="_heading=h.mqu808jnvsv0" w:colFirst="0" w:colLast="0"/>
      <w:bookmarkEnd w:id="12"/>
      <w:r>
        <w:t>Delimitación del problema</w:t>
      </w:r>
    </w:p>
    <w:p w14:paraId="0000015F" w14:textId="77777777" w:rsidR="00663CDF" w:rsidRDefault="00663CDF">
      <w:pPr>
        <w:pStyle w:val="Normal0"/>
        <w:spacing w:line="360" w:lineRule="auto"/>
      </w:pPr>
    </w:p>
    <w:p w14:paraId="00000160" w14:textId="77777777" w:rsidR="00663CDF" w:rsidRDefault="00F71B39">
      <w:pPr>
        <w:pStyle w:val="Normal0"/>
        <w:spacing w:line="360" w:lineRule="auto"/>
      </w:pPr>
      <w:r>
        <w:t>La investigación se enmarca en el análisis de la gestión pública en Turbaco -Bolívar, durante los años 2016-2023, con énfasis en los efectos de la recategorización municipal y la descentralización sobre la producción de bienes, servicios y el desarrollo social.</w:t>
      </w:r>
    </w:p>
    <w:p w14:paraId="00000161" w14:textId="77777777" w:rsidR="00663CDF" w:rsidRDefault="00663CDF">
      <w:pPr>
        <w:pStyle w:val="Normal0"/>
        <w:spacing w:line="360" w:lineRule="auto"/>
      </w:pPr>
    </w:p>
    <w:p w14:paraId="00000162" w14:textId="77777777" w:rsidR="00663CDF" w:rsidRDefault="00F71B39">
      <w:pPr>
        <w:pStyle w:val="Normal0"/>
        <w:spacing w:line="360" w:lineRule="auto"/>
      </w:pPr>
      <w:r>
        <w:t>Desde una perspectiva temporal, el estudio abarca dos períodos administrativos: 2016-2019 y 2020-2023, lo que permite evaluar la evolución de la gestión municipal en un marco comparativo. En el ámbito espacial, la investigación se focaliza exclusivamente en Turbaco, sin realizar comparaciones con otros municipios, aunque los resultados pueden ser referenciados a contextos similares.</w:t>
      </w:r>
    </w:p>
    <w:p w14:paraId="00000163" w14:textId="77777777" w:rsidR="00663CDF" w:rsidRDefault="00663CDF">
      <w:pPr>
        <w:pStyle w:val="Normal0"/>
        <w:spacing w:line="360" w:lineRule="auto"/>
      </w:pPr>
    </w:p>
    <w:p w14:paraId="00000164" w14:textId="77777777" w:rsidR="00663CDF" w:rsidRDefault="00F71B39">
      <w:pPr>
        <w:pStyle w:val="Normal0"/>
        <w:spacing w:line="360" w:lineRule="auto"/>
      </w:pPr>
      <w:r>
        <w:t>El estudio aborda la gestión fiscal, administrativa y social del municipio, con base en la categorización establecida por la Ley 617 de 2000 y la incidencia de la descentralización en la provisión de bienes y servicios esenciales.</w:t>
      </w:r>
    </w:p>
    <w:p w14:paraId="00000165" w14:textId="77777777" w:rsidR="00663CDF" w:rsidRDefault="00663CDF">
      <w:pPr>
        <w:pStyle w:val="Normal0"/>
        <w:spacing w:line="360" w:lineRule="auto"/>
      </w:pPr>
    </w:p>
    <w:p w14:paraId="00000166" w14:textId="77777777" w:rsidR="00663CDF" w:rsidRDefault="00F71B39">
      <w:pPr>
        <w:pStyle w:val="Ttulo3"/>
        <w:numPr>
          <w:ilvl w:val="2"/>
          <w:numId w:val="9"/>
        </w:numPr>
        <w:spacing w:line="360" w:lineRule="auto"/>
        <w:ind w:left="709" w:hanging="709"/>
      </w:pPr>
      <w:bookmarkStart w:id="13" w:name="_heading=h.2l6yfno0l1wu" w:colFirst="0" w:colLast="0"/>
      <w:bookmarkEnd w:id="13"/>
      <w:r>
        <w:t>Tipo de investigación</w:t>
      </w:r>
    </w:p>
    <w:p w14:paraId="00000167" w14:textId="77777777" w:rsidR="00663CDF" w:rsidRDefault="00F71B39">
      <w:pPr>
        <w:pStyle w:val="Normal0"/>
        <w:spacing w:before="280" w:after="280" w:line="360" w:lineRule="auto"/>
      </w:pPr>
      <w:r>
        <w:t>El presente estudio adopta un enfoque mixto, integrando metodologías cuantitativas y cualitativas para abordar la complejidad del problema de investigación.</w:t>
      </w:r>
    </w:p>
    <w:p w14:paraId="00000168" w14:textId="77777777" w:rsidR="00663CDF" w:rsidRDefault="00F71B39">
      <w:pPr>
        <w:pStyle w:val="Normal0"/>
        <w:numPr>
          <w:ilvl w:val="0"/>
          <w:numId w:val="3"/>
        </w:numPr>
        <w:spacing w:before="280" w:after="280" w:line="360" w:lineRule="auto"/>
      </w:pPr>
      <w:r>
        <w:t>Enfoque Cuantitativo:</w:t>
      </w:r>
    </w:p>
    <w:p w14:paraId="00000169" w14:textId="77777777" w:rsidR="00663CDF" w:rsidRDefault="00F71B39">
      <w:pPr>
        <w:pStyle w:val="Normal0"/>
        <w:numPr>
          <w:ilvl w:val="1"/>
          <w:numId w:val="19"/>
        </w:numPr>
        <w:pBdr>
          <w:top w:val="nil"/>
          <w:left w:val="nil"/>
          <w:bottom w:val="nil"/>
          <w:right w:val="nil"/>
          <w:between w:val="nil"/>
        </w:pBdr>
        <w:spacing w:before="280" w:line="360" w:lineRule="auto"/>
        <w:ind w:left="993"/>
        <w:rPr>
          <w:color w:val="000000"/>
        </w:rPr>
      </w:pPr>
      <w:r>
        <w:rPr>
          <w:color w:val="000000"/>
        </w:rPr>
        <w:t>Se analizarán indicadores de desempeño fiscal y social del municipio, obtenidos de fuentes oficiales como el Departamento Nacional de Planeación (DNP), Terridata, el DANE y los informes municipales.</w:t>
      </w:r>
    </w:p>
    <w:p w14:paraId="0000016A" w14:textId="77777777" w:rsidR="00663CDF" w:rsidRDefault="00F71B39">
      <w:pPr>
        <w:pStyle w:val="Normal0"/>
        <w:numPr>
          <w:ilvl w:val="1"/>
          <w:numId w:val="19"/>
        </w:numPr>
        <w:pBdr>
          <w:top w:val="nil"/>
          <w:left w:val="nil"/>
          <w:bottom w:val="nil"/>
          <w:right w:val="nil"/>
          <w:between w:val="nil"/>
        </w:pBdr>
        <w:spacing w:after="280" w:line="360" w:lineRule="auto"/>
        <w:ind w:left="993"/>
        <w:rPr>
          <w:color w:val="000000"/>
        </w:rPr>
      </w:pPr>
      <w:r>
        <w:rPr>
          <w:color w:val="000000"/>
        </w:rPr>
        <w:lastRenderedPageBreak/>
        <w:t>Se aplicarán técnicas estadísticas descriptivas para examinar la evolución de los ingresos, gastos y ejecución presupuestal, con énfasis en el uso de los ingresos corrientes de libre destinación (ICLD) y su relación con los gastos de funcionamiento y la inversión social.</w:t>
      </w:r>
    </w:p>
    <w:p w14:paraId="0000016B" w14:textId="77777777" w:rsidR="00663CDF" w:rsidRDefault="00F71B39">
      <w:pPr>
        <w:pStyle w:val="Normal0"/>
        <w:numPr>
          <w:ilvl w:val="0"/>
          <w:numId w:val="3"/>
        </w:numPr>
        <w:spacing w:before="280" w:after="280" w:line="360" w:lineRule="auto"/>
        <w:ind w:left="1134" w:hanging="501"/>
      </w:pPr>
      <w:r>
        <w:t>Enfoque Cualitativo:</w:t>
      </w:r>
    </w:p>
    <w:p w14:paraId="0000016C" w14:textId="77777777" w:rsidR="00663CDF" w:rsidRDefault="00F71B39">
      <w:pPr>
        <w:pStyle w:val="Normal0"/>
        <w:numPr>
          <w:ilvl w:val="1"/>
          <w:numId w:val="19"/>
        </w:numPr>
        <w:pBdr>
          <w:top w:val="nil"/>
          <w:left w:val="nil"/>
          <w:bottom w:val="nil"/>
          <w:right w:val="nil"/>
          <w:between w:val="nil"/>
        </w:pBdr>
        <w:spacing w:before="280" w:line="360" w:lineRule="auto"/>
        <w:ind w:left="993"/>
        <w:rPr>
          <w:color w:val="000000"/>
        </w:rPr>
      </w:pPr>
      <w:r>
        <w:rPr>
          <w:color w:val="000000"/>
        </w:rPr>
        <w:t>Se explorará la percepción de los habitantes de Turbaco respecto a la incidencia de la recategorización y descentralización en su calidad de vida, utilizando entrevistas con ciudadanos y actores clave de la gestión pública.</w:t>
      </w:r>
    </w:p>
    <w:p w14:paraId="0000016D" w14:textId="77777777" w:rsidR="00663CDF" w:rsidRDefault="00F71B39">
      <w:pPr>
        <w:pStyle w:val="Normal0"/>
        <w:numPr>
          <w:ilvl w:val="1"/>
          <w:numId w:val="19"/>
        </w:numPr>
        <w:pBdr>
          <w:top w:val="nil"/>
          <w:left w:val="nil"/>
          <w:bottom w:val="nil"/>
          <w:right w:val="nil"/>
          <w:between w:val="nil"/>
        </w:pBdr>
        <w:spacing w:line="360" w:lineRule="auto"/>
        <w:ind w:left="993"/>
        <w:rPr>
          <w:color w:val="000000"/>
        </w:rPr>
      </w:pPr>
      <w:r>
        <w:rPr>
          <w:color w:val="000000"/>
        </w:rPr>
        <w:t>Se llevará a cabo un análisis documental de los planes de desarrollo municipales y los informes de gestión, permitiendo contrastar la información cuantitativa con la normativa vigente y las políticas implementadas.</w:t>
      </w:r>
    </w:p>
    <w:p w14:paraId="0000016E" w14:textId="77777777" w:rsidR="00663CDF" w:rsidRDefault="00F71B39">
      <w:pPr>
        <w:pStyle w:val="Normal0"/>
        <w:numPr>
          <w:ilvl w:val="1"/>
          <w:numId w:val="19"/>
        </w:numPr>
        <w:pBdr>
          <w:top w:val="nil"/>
          <w:left w:val="nil"/>
          <w:bottom w:val="nil"/>
          <w:right w:val="nil"/>
          <w:between w:val="nil"/>
        </w:pBdr>
        <w:spacing w:after="280" w:line="360" w:lineRule="auto"/>
        <w:ind w:left="993"/>
        <w:rPr>
          <w:color w:val="000000"/>
        </w:rPr>
      </w:pPr>
      <w:r>
        <w:rPr>
          <w:color w:val="000000"/>
        </w:rPr>
        <w:t xml:space="preserve">Para el componente cualitativo, se diseñó y aplicó una única pregunta abierta a seis personas residentes en diferentes sectores del municipio de Turbaco, con perfiles diversos en términos de ocupación, nivel educativo y cercanía a procesos de gestión pública. La pregunta formulada fue: “¿Cómo veo yo que incide la gestión de la administración pública en la calidad de vida de los habitantes de Turbaco, en sectores como salud, educación, servicios públicos, seguridad, infraestructura, participación ciudadana, vivienda y empleo?”. Esta técnica, basada en entrevistas semi-dirigidas, tuvo como objetivo captar percepciones ciudadanas amplias y sin direccionamientos rígidos, permitiendo una exploración profunda y abierta del tema central. Los participantes fueron seleccionados por conveniencia y saturación teórica, privilegiando diversidad de experiencia y representación barrial. El análisis cualitativo se desarrolló mediante codificación temática abierta, identificando nodos como: percepción sobre infraestructura, experiencias con el sistema de salud, percepción de cobertura y calidad educativa, y participación ciudadana. Estos núcleos conceptuales fueron interpretados como categorías analíticas de segundo </w:t>
      </w:r>
      <w:r>
        <w:rPr>
          <w:color w:val="000000"/>
        </w:rPr>
        <w:lastRenderedPageBreak/>
        <w:t>nivel que permiten una triangulación reflexiva con los hallazgos del análisis documental y cuantitativo.</w:t>
      </w:r>
    </w:p>
    <w:p w14:paraId="0000016F" w14:textId="77777777" w:rsidR="00663CDF" w:rsidRDefault="00F71B39">
      <w:pPr>
        <w:pStyle w:val="Ttulo3"/>
        <w:numPr>
          <w:ilvl w:val="2"/>
          <w:numId w:val="9"/>
        </w:numPr>
        <w:spacing w:line="360" w:lineRule="auto"/>
        <w:ind w:left="709" w:hanging="709"/>
      </w:pPr>
      <w:bookmarkStart w:id="14" w:name="_heading=h.sl3e64mp4t58" w:colFirst="0" w:colLast="0"/>
      <w:bookmarkEnd w:id="14"/>
      <w:r>
        <w:t>Fuentes de recolección de datos</w:t>
      </w:r>
    </w:p>
    <w:p w14:paraId="00000170" w14:textId="77777777" w:rsidR="00663CDF" w:rsidRDefault="00F71B39">
      <w:pPr>
        <w:pStyle w:val="Normal0"/>
        <w:spacing w:line="360" w:lineRule="auto"/>
      </w:pPr>
      <w:r>
        <w:t xml:space="preserve">La investigación se basará en fuentes </w:t>
      </w:r>
      <w:r>
        <w:rPr>
          <w:b/>
        </w:rPr>
        <w:t>primarias y secundarias</w:t>
      </w:r>
      <w:r>
        <w:t>.</w:t>
      </w:r>
    </w:p>
    <w:p w14:paraId="00000171" w14:textId="77777777" w:rsidR="00663CDF" w:rsidRDefault="00F71B39">
      <w:pPr>
        <w:pStyle w:val="Normal0"/>
        <w:numPr>
          <w:ilvl w:val="0"/>
          <w:numId w:val="4"/>
        </w:numPr>
        <w:spacing w:line="360" w:lineRule="auto"/>
      </w:pPr>
      <w:r>
        <w:t>Fuentes secundarias:</w:t>
      </w:r>
    </w:p>
    <w:p w14:paraId="00000172" w14:textId="77777777" w:rsidR="00663CDF" w:rsidRDefault="00F71B39">
      <w:pPr>
        <w:pStyle w:val="Normal0"/>
        <w:numPr>
          <w:ilvl w:val="1"/>
          <w:numId w:val="19"/>
        </w:numPr>
        <w:pBdr>
          <w:top w:val="nil"/>
          <w:left w:val="nil"/>
          <w:bottom w:val="nil"/>
          <w:right w:val="nil"/>
          <w:between w:val="nil"/>
        </w:pBdr>
        <w:spacing w:line="360" w:lineRule="auto"/>
        <w:rPr>
          <w:color w:val="000000"/>
        </w:rPr>
      </w:pPr>
      <w:r>
        <w:rPr>
          <w:color w:val="000000"/>
        </w:rPr>
        <w:t>Informes oficiales: Planes de Desarrollo Municipal 2016-2019 y 2020-2023, Informe de Empalme 2023-2024, Informe de Gestión y Cumplimiento del Plan de Desarrollo 2021.</w:t>
      </w:r>
    </w:p>
    <w:p w14:paraId="00000173" w14:textId="77777777" w:rsidR="00663CDF" w:rsidRDefault="00F71B39">
      <w:pPr>
        <w:pStyle w:val="Normal0"/>
        <w:numPr>
          <w:ilvl w:val="1"/>
          <w:numId w:val="19"/>
        </w:numPr>
        <w:pBdr>
          <w:top w:val="nil"/>
          <w:left w:val="nil"/>
          <w:bottom w:val="nil"/>
          <w:right w:val="nil"/>
          <w:between w:val="nil"/>
        </w:pBdr>
        <w:spacing w:line="360" w:lineRule="auto"/>
        <w:rPr>
          <w:color w:val="000000"/>
        </w:rPr>
      </w:pPr>
      <w:r>
        <w:rPr>
          <w:color w:val="000000"/>
        </w:rPr>
        <w:t>Bases de datos: Terridata, DANE, DNP y Contaduría General de la Nación.</w:t>
      </w:r>
    </w:p>
    <w:p w14:paraId="00000174" w14:textId="77777777" w:rsidR="00663CDF" w:rsidRDefault="00F71B39">
      <w:pPr>
        <w:pStyle w:val="Normal0"/>
        <w:numPr>
          <w:ilvl w:val="1"/>
          <w:numId w:val="19"/>
        </w:numPr>
        <w:pBdr>
          <w:top w:val="nil"/>
          <w:left w:val="nil"/>
          <w:bottom w:val="nil"/>
          <w:right w:val="nil"/>
          <w:between w:val="nil"/>
        </w:pBdr>
        <w:spacing w:line="360" w:lineRule="auto"/>
        <w:rPr>
          <w:color w:val="000000"/>
        </w:rPr>
      </w:pPr>
      <w:r>
        <w:rPr>
          <w:color w:val="000000"/>
        </w:rPr>
        <w:t>Normativa: Ley 617 de 2000, Constitución Política de Colombia y otras regulaciones relacionadas con la categorización municipal.</w:t>
      </w:r>
    </w:p>
    <w:p w14:paraId="00000175" w14:textId="77777777" w:rsidR="00663CDF" w:rsidRDefault="00F71B39">
      <w:pPr>
        <w:pStyle w:val="Normal0"/>
        <w:numPr>
          <w:ilvl w:val="0"/>
          <w:numId w:val="4"/>
        </w:numPr>
        <w:spacing w:line="360" w:lineRule="auto"/>
      </w:pPr>
      <w:r>
        <w:t>Fuentes primarias:</w:t>
      </w:r>
    </w:p>
    <w:p w14:paraId="00000176" w14:textId="77777777" w:rsidR="00663CDF" w:rsidRDefault="00F71B39">
      <w:pPr>
        <w:pStyle w:val="Normal0"/>
        <w:numPr>
          <w:ilvl w:val="1"/>
          <w:numId w:val="19"/>
        </w:numPr>
        <w:pBdr>
          <w:top w:val="nil"/>
          <w:left w:val="nil"/>
          <w:bottom w:val="nil"/>
          <w:right w:val="nil"/>
          <w:between w:val="nil"/>
        </w:pBdr>
        <w:spacing w:line="360" w:lineRule="auto"/>
        <w:rPr>
          <w:color w:val="000000"/>
        </w:rPr>
      </w:pPr>
      <w:r>
        <w:rPr>
          <w:color w:val="000000"/>
        </w:rPr>
        <w:t>Entrevistas a ex - funcionarios municipales que permitan entender las estrategias de gestión pública adoptadas en respuesta a los cambios de categorización.</w:t>
      </w:r>
    </w:p>
    <w:p w14:paraId="00000177" w14:textId="77777777" w:rsidR="00663CDF" w:rsidRDefault="00663CDF">
      <w:pPr>
        <w:pStyle w:val="Normal0"/>
        <w:spacing w:line="360" w:lineRule="auto"/>
      </w:pPr>
    </w:p>
    <w:p w14:paraId="00000178" w14:textId="77777777" w:rsidR="00663CDF" w:rsidRDefault="00F71B39">
      <w:pPr>
        <w:pStyle w:val="Ttulo3"/>
        <w:numPr>
          <w:ilvl w:val="2"/>
          <w:numId w:val="9"/>
        </w:numPr>
        <w:spacing w:line="360" w:lineRule="auto"/>
        <w:ind w:left="709" w:hanging="709"/>
      </w:pPr>
      <w:bookmarkStart w:id="15" w:name="_heading=h.r6w4qbfp65pp" w:colFirst="0" w:colLast="0"/>
      <w:bookmarkEnd w:id="15"/>
      <w:r>
        <w:t>Procedimientos para el análisis de los datos</w:t>
      </w:r>
    </w:p>
    <w:p w14:paraId="00000179" w14:textId="77777777" w:rsidR="00663CDF" w:rsidRDefault="00F71B39">
      <w:pPr>
        <w:pStyle w:val="Ttulo4"/>
        <w:spacing w:line="360" w:lineRule="auto"/>
      </w:pPr>
      <w:r>
        <w:t>Fase 1: Caracterización del Comportamiento de la Gestión Pública</w:t>
      </w:r>
    </w:p>
    <w:p w14:paraId="0000017A" w14:textId="77777777" w:rsidR="00663CDF" w:rsidRDefault="00F71B39">
      <w:pPr>
        <w:pStyle w:val="Normal0"/>
        <w:spacing w:line="360" w:lineRule="auto"/>
      </w:pPr>
      <w:r>
        <w:t>En esta primera fase, el objetivo es caracterizar el comportamiento de la gestión pública en Turbaco, tomando en cuenta los efectos de la recategorización del municipio, el proceso de descentralización, y las variaciones en el desarrollo social de sus habitantes.</w:t>
      </w:r>
    </w:p>
    <w:p w14:paraId="0000017B" w14:textId="77777777" w:rsidR="00663CDF" w:rsidRDefault="00F71B39">
      <w:pPr>
        <w:pStyle w:val="Normal0"/>
        <w:spacing w:line="360" w:lineRule="auto"/>
      </w:pPr>
      <w:r>
        <w:t xml:space="preserve">Para lograr esto, se llevará a cabo un análisis documental que incluirá la revisión de los planes de desarrollo municipal y los informes de gestión correspondientes a los periodos de estudio (2016-2019 y 2020-2023). Estos documentos proporcionarán un marco teórico y normativo que permitirá comprender las estrategias adoptadas por la administración pública y su implementación en el contexto local. La información obtenida de esta fuente cualitativa permitirá complementar y enriquecer </w:t>
      </w:r>
      <w:r>
        <w:lastRenderedPageBreak/>
        <w:t>los hallazgos documentales, proporcionando una visión más completa del fenómeno.</w:t>
      </w:r>
    </w:p>
    <w:p w14:paraId="0000017C" w14:textId="77777777" w:rsidR="00663CDF" w:rsidRDefault="00663CDF">
      <w:pPr>
        <w:pStyle w:val="Normal0"/>
        <w:spacing w:line="360" w:lineRule="auto"/>
      </w:pPr>
    </w:p>
    <w:p w14:paraId="0000017D" w14:textId="77777777" w:rsidR="00663CDF" w:rsidRDefault="00F71B39">
      <w:pPr>
        <w:pStyle w:val="Ttulo4"/>
        <w:spacing w:line="360" w:lineRule="auto"/>
      </w:pPr>
      <w:r>
        <w:t>Fase 2: Evaluación del Cumplimiento de los Mandatos Constitucionales</w:t>
      </w:r>
    </w:p>
    <w:p w14:paraId="0000017E" w14:textId="77777777" w:rsidR="00663CDF" w:rsidRDefault="00F71B39">
      <w:pPr>
        <w:pStyle w:val="Normal0"/>
        <w:spacing w:line="360" w:lineRule="auto"/>
      </w:pPr>
      <w:r>
        <w:t xml:space="preserve">En la segunda fase, la investigación se enfocará en valorar el nivel de cumplimiento de los mandatos constitucionales en el uso de los recursos públicos y la producción de bienes y servicios, considerando la recategorización del municipio de Turbaco. Para esta evaluación, se utilizarán tanto métodos cuantitativos como cualitativos. A nivel cuantitativo, se analizarán los datos financieros y de desempeño obtenidos de fuentes secundarias, como los reportes del Departamento Nacional de Planeación (DNP) y las bases de datos de Terridata. </w:t>
      </w:r>
    </w:p>
    <w:p w14:paraId="0000017F" w14:textId="77777777" w:rsidR="00663CDF" w:rsidRDefault="00663CDF">
      <w:pPr>
        <w:pStyle w:val="Normal0"/>
        <w:spacing w:line="360" w:lineRule="auto"/>
      </w:pPr>
    </w:p>
    <w:p w14:paraId="00000180" w14:textId="77777777" w:rsidR="00663CDF" w:rsidRDefault="00F71B39">
      <w:pPr>
        <w:pStyle w:val="Normal0"/>
        <w:spacing w:line="360" w:lineRule="auto"/>
      </w:pPr>
      <w:r>
        <w:t>Estos datos serán cruciales para medir la eficiencia en el uso de los recursos y la incidencia en el desarrollo social. Los indicadores clave, como el Índice de Necesidades Básicas Satisfechas (NBS), serán fundamentales para este análisis.</w:t>
      </w:r>
    </w:p>
    <w:p w14:paraId="00000181" w14:textId="77777777" w:rsidR="00663CDF" w:rsidRDefault="00663CDF">
      <w:pPr>
        <w:pStyle w:val="Normal0"/>
        <w:spacing w:line="360" w:lineRule="auto"/>
      </w:pPr>
    </w:p>
    <w:p w14:paraId="00000182" w14:textId="77777777" w:rsidR="00663CDF" w:rsidRDefault="00F71B39">
      <w:pPr>
        <w:pStyle w:val="Ttulo4"/>
        <w:spacing w:line="360" w:lineRule="auto"/>
      </w:pPr>
      <w:r>
        <w:t>Fase 3: Elaboración de Recomendaciones</w:t>
      </w:r>
    </w:p>
    <w:p w14:paraId="00000183" w14:textId="77777777" w:rsidR="00663CDF" w:rsidRDefault="00663CDF">
      <w:pPr>
        <w:pStyle w:val="Normal0"/>
        <w:spacing w:line="360" w:lineRule="auto"/>
        <w:rPr>
          <w:b/>
        </w:rPr>
      </w:pPr>
    </w:p>
    <w:p w14:paraId="00000184" w14:textId="77777777" w:rsidR="00663CDF" w:rsidRDefault="00F71B39">
      <w:pPr>
        <w:pStyle w:val="Normal0"/>
        <w:spacing w:line="360" w:lineRule="auto"/>
      </w:pPr>
      <w:r>
        <w:t>Finalmente, en la tercera fase, el estudio se centrará en la elaboración de recomendaciones que puedan mejorar los procesos de recategorización y la gestión pública en Turbaco, buscando maximizar los efectos sociales de las políticas implementadas.</w:t>
      </w:r>
    </w:p>
    <w:p w14:paraId="00000185" w14:textId="77777777" w:rsidR="00663CDF" w:rsidRDefault="00663CDF">
      <w:pPr>
        <w:pStyle w:val="Normal0"/>
        <w:spacing w:line="360" w:lineRule="auto"/>
      </w:pPr>
    </w:p>
    <w:p w14:paraId="00000186" w14:textId="77777777" w:rsidR="00663CDF" w:rsidRDefault="00F71B39">
      <w:pPr>
        <w:pStyle w:val="Normal0"/>
        <w:spacing w:line="360" w:lineRule="auto"/>
      </w:pPr>
      <w:r>
        <w:t>Basado en los hallazgos de las fases anteriores, se diseñarán un conjunto de acciones y estrategias que orienten a la administración municipal hacia prácticas más eficientes y efectivas. Estas recomendaciones serán fundamentadas en los datos cuantitativos y cualitativos obtenidos, asegurando que sean prácticas, aplicables, y orientadas a mejorar la calidad de vida de los habitantes de Turbaco.</w:t>
      </w:r>
    </w:p>
    <w:p w14:paraId="00000187" w14:textId="77777777" w:rsidR="00663CDF" w:rsidRDefault="00663CDF">
      <w:pPr>
        <w:pStyle w:val="Normal0"/>
        <w:pBdr>
          <w:top w:val="nil"/>
          <w:left w:val="nil"/>
          <w:bottom w:val="nil"/>
          <w:right w:val="nil"/>
          <w:between w:val="nil"/>
        </w:pBdr>
        <w:spacing w:line="360" w:lineRule="auto"/>
        <w:rPr>
          <w:b/>
          <w:color w:val="000000"/>
        </w:rPr>
      </w:pPr>
    </w:p>
    <w:p w14:paraId="00000188" w14:textId="77777777" w:rsidR="00663CDF" w:rsidRDefault="00663CDF">
      <w:pPr>
        <w:pStyle w:val="Normal0"/>
        <w:pBdr>
          <w:top w:val="nil"/>
          <w:left w:val="nil"/>
          <w:bottom w:val="nil"/>
          <w:right w:val="nil"/>
          <w:between w:val="nil"/>
        </w:pBdr>
        <w:spacing w:line="360" w:lineRule="auto"/>
        <w:rPr>
          <w:b/>
          <w:color w:val="000000"/>
        </w:rPr>
      </w:pPr>
    </w:p>
    <w:p w14:paraId="00000189" w14:textId="77777777" w:rsidR="00663CDF" w:rsidRDefault="00F71B39">
      <w:pPr>
        <w:pStyle w:val="Normal0"/>
        <w:pBdr>
          <w:top w:val="nil"/>
          <w:left w:val="nil"/>
          <w:bottom w:val="nil"/>
          <w:right w:val="nil"/>
          <w:between w:val="nil"/>
        </w:pBdr>
        <w:spacing w:line="360" w:lineRule="auto"/>
        <w:rPr>
          <w:b/>
          <w:color w:val="000000"/>
        </w:rPr>
      </w:pPr>
      <w:bookmarkStart w:id="16" w:name="_heading=h.65etjn623z4v" w:colFirst="0" w:colLast="0"/>
      <w:bookmarkEnd w:id="16"/>
      <w:r>
        <w:rPr>
          <w:b/>
          <w:color w:val="000000"/>
        </w:rPr>
        <w:lastRenderedPageBreak/>
        <w:t>Gráfico 1. Fases de la investigación</w:t>
      </w:r>
    </w:p>
    <w:p w14:paraId="0000018A" w14:textId="77777777" w:rsidR="00663CDF" w:rsidRDefault="00F71B39">
      <w:pPr>
        <w:pStyle w:val="Normal0"/>
        <w:spacing w:line="360" w:lineRule="auto"/>
      </w:pPr>
      <w:r>
        <w:rPr>
          <w:noProof/>
        </w:rPr>
        <mc:AlternateContent>
          <mc:Choice Requires="wpg">
            <w:drawing>
              <wp:inline distT="0" distB="0" distL="0" distR="0" wp14:anchorId="732F48C7" wp14:editId="07777777">
                <wp:extent cx="5486400" cy="1905000"/>
                <wp:effectExtent l="0" t="0" r="0" b="0"/>
                <wp:docPr id="1763786205" name="Grupo 1763786205"/>
                <wp:cNvGraphicFramePr/>
                <a:graphic xmlns:a="http://schemas.openxmlformats.org/drawingml/2006/main">
                  <a:graphicData uri="http://schemas.microsoft.com/office/word/2010/wordprocessingGroup">
                    <wpg:wgp>
                      <wpg:cNvGrpSpPr/>
                      <wpg:grpSpPr>
                        <a:xfrm>
                          <a:off x="0" y="0"/>
                          <a:ext cx="5486400" cy="1905000"/>
                          <a:chOff x="0" y="0"/>
                          <a:chExt cx="5490025" cy="1905000"/>
                        </a:xfrm>
                      </wpg:grpSpPr>
                      <wpg:grpSp>
                        <wpg:cNvPr id="1611251809" name="Grupo 1611251809"/>
                        <wpg:cNvGrpSpPr/>
                        <wpg:grpSpPr>
                          <a:xfrm>
                            <a:off x="0" y="0"/>
                            <a:ext cx="5486400" cy="1905000"/>
                            <a:chOff x="0" y="0"/>
                            <a:chExt cx="5486400" cy="1905000"/>
                          </a:xfrm>
                        </wpg:grpSpPr>
                        <wps:wsp>
                          <wps:cNvPr id="833751831" name="Rectángulo 833751831"/>
                          <wps:cNvSpPr/>
                          <wps:spPr>
                            <a:xfrm>
                              <a:off x="0" y="0"/>
                              <a:ext cx="5486400" cy="1905000"/>
                            </a:xfrm>
                            <a:prstGeom prst="rect">
                              <a:avLst/>
                            </a:prstGeom>
                            <a:noFill/>
                            <a:ln>
                              <a:noFill/>
                            </a:ln>
                          </wps:spPr>
                          <wps:txbx>
                            <w:txbxContent>
                              <w:p w14:paraId="672A6659"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2100952000" name="Rectángulo: esquinas redondeadas 2100952000"/>
                          <wps:cNvSpPr/>
                          <wps:spPr>
                            <a:xfrm>
                              <a:off x="2728" y="13158"/>
                              <a:ext cx="1240708" cy="1036799"/>
                            </a:xfrm>
                            <a:prstGeom prst="roundRect">
                              <a:avLst>
                                <a:gd name="adj" fmla="val 10000"/>
                              </a:avLst>
                            </a:prstGeom>
                            <a:solidFill>
                              <a:schemeClr val="accent2"/>
                            </a:solidFill>
                            <a:ln w="12700" cap="flat" cmpd="sng">
                              <a:solidFill>
                                <a:schemeClr val="lt1"/>
                              </a:solidFill>
                              <a:prstDash val="solid"/>
                              <a:miter lim="800000"/>
                              <a:headEnd type="none" w="sm" len="sm"/>
                              <a:tailEnd type="none" w="sm" len="sm"/>
                            </a:ln>
                          </wps:spPr>
                          <wps:txbx>
                            <w:txbxContent>
                              <w:p w14:paraId="0A37501D"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809485775" name="Cuadro de texto 809485775"/>
                          <wps:cNvSpPr txBox="1"/>
                          <wps:spPr>
                            <a:xfrm>
                              <a:off x="2728" y="13158"/>
                              <a:ext cx="1240708" cy="496283"/>
                            </a:xfrm>
                            <a:prstGeom prst="rect">
                              <a:avLst/>
                            </a:prstGeom>
                            <a:noFill/>
                            <a:ln>
                              <a:noFill/>
                            </a:ln>
                          </wps:spPr>
                          <wps:txbx>
                            <w:txbxContent>
                              <w:p w14:paraId="15727892" w14:textId="77777777" w:rsidR="00663CDF" w:rsidRDefault="00F71B39">
                                <w:pPr>
                                  <w:pStyle w:val="Normal0"/>
                                  <w:spacing w:line="215" w:lineRule="auto"/>
                                  <w:jc w:val="left"/>
                                  <w:textDirection w:val="btLr"/>
                                </w:pPr>
                                <w:r>
                                  <w:rPr>
                                    <w:rFonts w:ascii="Calibri" w:eastAsia="Calibri" w:hAnsi="Calibri" w:cs="Calibri"/>
                                    <w:color w:val="000000"/>
                                    <w:sz w:val="22"/>
                                  </w:rPr>
                                  <w:t>Fase 1: Descripción de planes</w:t>
                                </w:r>
                              </w:p>
                            </w:txbxContent>
                          </wps:txbx>
                          <wps:bodyPr spcFirstLastPara="1" wrap="square" lIns="78225" tIns="78225" rIns="78225" bIns="41900" anchor="t" anchorCtr="0">
                            <a:noAutofit/>
                          </wps:bodyPr>
                        </wps:wsp>
                        <wps:wsp>
                          <wps:cNvPr id="2071460196" name="Rectángulo: esquinas redondeadas 2071460196"/>
                          <wps:cNvSpPr/>
                          <wps:spPr>
                            <a:xfrm>
                              <a:off x="256849" y="509441"/>
                              <a:ext cx="1240708" cy="1382400"/>
                            </a:xfrm>
                            <a:prstGeom prst="roundRect">
                              <a:avLst>
                                <a:gd name="adj" fmla="val 10000"/>
                              </a:avLst>
                            </a:prstGeom>
                            <a:solidFill>
                              <a:schemeClr val="lt1">
                                <a:alpha val="89803"/>
                              </a:schemeClr>
                            </a:solidFill>
                            <a:ln w="12700" cap="flat" cmpd="sng">
                              <a:solidFill>
                                <a:schemeClr val="accent2"/>
                              </a:solidFill>
                              <a:prstDash val="solid"/>
                              <a:miter lim="800000"/>
                              <a:headEnd type="none" w="sm" len="sm"/>
                              <a:tailEnd type="none" w="sm" len="sm"/>
                            </a:ln>
                          </wps:spPr>
                          <wps:txbx>
                            <w:txbxContent>
                              <w:p w14:paraId="5DAB6C7B"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237352571" name="Cuadro de texto 237352571"/>
                          <wps:cNvSpPr txBox="1"/>
                          <wps:spPr>
                            <a:xfrm>
                              <a:off x="293188" y="545780"/>
                              <a:ext cx="1168030" cy="1309722"/>
                            </a:xfrm>
                            <a:prstGeom prst="rect">
                              <a:avLst/>
                            </a:prstGeom>
                            <a:noFill/>
                            <a:ln>
                              <a:noFill/>
                            </a:ln>
                          </wps:spPr>
                          <wps:txbx>
                            <w:txbxContent>
                              <w:p w14:paraId="6A6107A7" w14:textId="77777777" w:rsidR="00663CDF" w:rsidRDefault="00F71B39">
                                <w:pPr>
                                  <w:pStyle w:val="Normal0"/>
                                  <w:spacing w:line="215" w:lineRule="auto"/>
                                  <w:ind w:left="90" w:firstLine="90"/>
                                  <w:jc w:val="left"/>
                                  <w:textDirection w:val="btLr"/>
                                </w:pPr>
                                <w:r>
                                  <w:rPr>
                                    <w:rFonts w:ascii="Calibri" w:eastAsia="Calibri" w:hAnsi="Calibri" w:cs="Calibri"/>
                                    <w:color w:val="000000"/>
                                    <w:sz w:val="22"/>
                                  </w:rPr>
                                  <w:t>Revisión documental</w:t>
                                </w:r>
                              </w:p>
                              <w:p w14:paraId="31E1D8EE" w14:textId="77777777" w:rsidR="00663CDF" w:rsidRDefault="00F71B39">
                                <w:pPr>
                                  <w:pStyle w:val="Normal0"/>
                                  <w:spacing w:before="33" w:line="215" w:lineRule="auto"/>
                                  <w:ind w:left="90" w:firstLine="90"/>
                                  <w:jc w:val="left"/>
                                  <w:textDirection w:val="btLr"/>
                                </w:pPr>
                                <w:r>
                                  <w:rPr>
                                    <w:rFonts w:ascii="Calibri" w:eastAsia="Calibri" w:hAnsi="Calibri" w:cs="Calibri"/>
                                    <w:color w:val="000000"/>
                                    <w:sz w:val="22"/>
                                  </w:rPr>
                                  <w:t>Grupo Focal</w:t>
                                </w:r>
                              </w:p>
                            </w:txbxContent>
                          </wps:txbx>
                          <wps:bodyPr spcFirstLastPara="1" wrap="square" lIns="78225" tIns="78225" rIns="78225" bIns="78225" anchor="t" anchorCtr="0">
                            <a:noAutofit/>
                          </wps:bodyPr>
                        </wps:wsp>
                        <wps:wsp>
                          <wps:cNvPr id="331229768" name="Flecha: a la derecha 331229768"/>
                          <wps:cNvSpPr/>
                          <wps:spPr>
                            <a:xfrm>
                              <a:off x="1431524" y="106849"/>
                              <a:ext cx="398744" cy="308900"/>
                            </a:xfrm>
                            <a:prstGeom prst="rightArrow">
                              <a:avLst>
                                <a:gd name="adj1" fmla="val 60000"/>
                                <a:gd name="adj2" fmla="val 50000"/>
                              </a:avLst>
                            </a:prstGeom>
                            <a:solidFill>
                              <a:schemeClr val="accent2"/>
                            </a:solidFill>
                            <a:ln>
                              <a:noFill/>
                            </a:ln>
                          </wps:spPr>
                          <wps:txbx>
                            <w:txbxContent>
                              <w:p w14:paraId="02EB378F"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1625275634" name="Cuadro de texto 1625275634"/>
                          <wps:cNvSpPr txBox="1"/>
                          <wps:spPr>
                            <a:xfrm>
                              <a:off x="1431524" y="168629"/>
                              <a:ext cx="306074" cy="185340"/>
                            </a:xfrm>
                            <a:prstGeom prst="rect">
                              <a:avLst/>
                            </a:prstGeom>
                            <a:noFill/>
                            <a:ln>
                              <a:noFill/>
                            </a:ln>
                          </wps:spPr>
                          <wps:txbx>
                            <w:txbxContent>
                              <w:p w14:paraId="6A05A809" w14:textId="77777777" w:rsidR="00663CDF" w:rsidRDefault="00663CDF">
                                <w:pPr>
                                  <w:pStyle w:val="Normal0"/>
                                  <w:spacing w:line="215" w:lineRule="auto"/>
                                  <w:jc w:val="center"/>
                                  <w:textDirection w:val="btLr"/>
                                </w:pPr>
                              </w:p>
                            </w:txbxContent>
                          </wps:txbx>
                          <wps:bodyPr spcFirstLastPara="1" wrap="square" lIns="0" tIns="0" rIns="0" bIns="0" anchor="ctr" anchorCtr="0">
                            <a:noAutofit/>
                          </wps:bodyPr>
                        </wps:wsp>
                        <wps:wsp>
                          <wps:cNvPr id="2117758806" name="Rectángulo: esquinas redondeadas 2117758806"/>
                          <wps:cNvSpPr/>
                          <wps:spPr>
                            <a:xfrm>
                              <a:off x="1995785" y="13158"/>
                              <a:ext cx="1240708" cy="1036799"/>
                            </a:xfrm>
                            <a:prstGeom prst="roundRect">
                              <a:avLst>
                                <a:gd name="adj" fmla="val 10000"/>
                              </a:avLst>
                            </a:prstGeom>
                            <a:solidFill>
                              <a:schemeClr val="accent3"/>
                            </a:solidFill>
                            <a:ln w="12700" cap="flat" cmpd="sng">
                              <a:solidFill>
                                <a:schemeClr val="lt1"/>
                              </a:solidFill>
                              <a:prstDash val="solid"/>
                              <a:miter lim="800000"/>
                              <a:headEnd type="none" w="sm" len="sm"/>
                              <a:tailEnd type="none" w="sm" len="sm"/>
                            </a:ln>
                          </wps:spPr>
                          <wps:txbx>
                            <w:txbxContent>
                              <w:p w14:paraId="5A39BBE3"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476024009" name="Cuadro de texto 476024009"/>
                          <wps:cNvSpPr txBox="1"/>
                          <wps:spPr>
                            <a:xfrm>
                              <a:off x="1995785" y="13158"/>
                              <a:ext cx="1240708" cy="496283"/>
                            </a:xfrm>
                            <a:prstGeom prst="rect">
                              <a:avLst/>
                            </a:prstGeom>
                            <a:noFill/>
                            <a:ln>
                              <a:noFill/>
                            </a:ln>
                          </wps:spPr>
                          <wps:txbx>
                            <w:txbxContent>
                              <w:p w14:paraId="5AD9B32E" w14:textId="77777777" w:rsidR="00663CDF" w:rsidRDefault="00F71B39">
                                <w:pPr>
                                  <w:pStyle w:val="Normal0"/>
                                  <w:spacing w:line="215" w:lineRule="auto"/>
                                  <w:jc w:val="left"/>
                                  <w:textDirection w:val="btLr"/>
                                </w:pPr>
                                <w:r>
                                  <w:rPr>
                                    <w:rFonts w:ascii="Calibri" w:eastAsia="Calibri" w:hAnsi="Calibri" w:cs="Calibri"/>
                                    <w:color w:val="000000"/>
                                    <w:sz w:val="22"/>
                                  </w:rPr>
                                  <w:t>Fase 2: Desarrollo Social</w:t>
                                </w:r>
                              </w:p>
                            </w:txbxContent>
                          </wps:txbx>
                          <wps:bodyPr spcFirstLastPara="1" wrap="square" lIns="78225" tIns="78225" rIns="78225" bIns="41900" anchor="t" anchorCtr="0">
                            <a:noAutofit/>
                          </wps:bodyPr>
                        </wps:wsp>
                        <wps:wsp>
                          <wps:cNvPr id="766667860" name="Rectángulo: esquinas redondeadas 766667860"/>
                          <wps:cNvSpPr/>
                          <wps:spPr>
                            <a:xfrm>
                              <a:off x="2249906" y="509441"/>
                              <a:ext cx="1240708" cy="1382400"/>
                            </a:xfrm>
                            <a:prstGeom prst="roundRect">
                              <a:avLst>
                                <a:gd name="adj" fmla="val 10000"/>
                              </a:avLst>
                            </a:prstGeom>
                            <a:solidFill>
                              <a:schemeClr val="lt1">
                                <a:alpha val="89803"/>
                              </a:schemeClr>
                            </a:solidFill>
                            <a:ln w="12700" cap="flat" cmpd="sng">
                              <a:solidFill>
                                <a:schemeClr val="accent3"/>
                              </a:solidFill>
                              <a:prstDash val="solid"/>
                              <a:miter lim="800000"/>
                              <a:headEnd type="none" w="sm" len="sm"/>
                              <a:tailEnd type="none" w="sm" len="sm"/>
                            </a:ln>
                          </wps:spPr>
                          <wps:txbx>
                            <w:txbxContent>
                              <w:p w14:paraId="41C8F396"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1874204916" name="Cuadro de texto 1874204916"/>
                          <wps:cNvSpPr txBox="1"/>
                          <wps:spPr>
                            <a:xfrm>
                              <a:off x="2286245" y="545780"/>
                              <a:ext cx="1168030" cy="1309722"/>
                            </a:xfrm>
                            <a:prstGeom prst="rect">
                              <a:avLst/>
                            </a:prstGeom>
                            <a:noFill/>
                            <a:ln>
                              <a:noFill/>
                            </a:ln>
                          </wps:spPr>
                          <wps:txbx>
                            <w:txbxContent>
                              <w:p w14:paraId="1B10ACDA" w14:textId="77777777" w:rsidR="00663CDF" w:rsidRDefault="00F71B39">
                                <w:pPr>
                                  <w:pStyle w:val="Normal0"/>
                                  <w:spacing w:line="215" w:lineRule="auto"/>
                                  <w:ind w:left="90" w:firstLine="90"/>
                                  <w:jc w:val="left"/>
                                  <w:textDirection w:val="btLr"/>
                                </w:pPr>
                                <w:r>
                                  <w:rPr>
                                    <w:rFonts w:ascii="Calibri" w:eastAsia="Calibri" w:hAnsi="Calibri" w:cs="Calibri"/>
                                    <w:color w:val="000000"/>
                                    <w:sz w:val="22"/>
                                  </w:rPr>
                                  <w:t>Definición de variables</w:t>
                                </w:r>
                              </w:p>
                              <w:p w14:paraId="729CD38E" w14:textId="77777777" w:rsidR="00663CDF" w:rsidRDefault="00F71B39">
                                <w:pPr>
                                  <w:pStyle w:val="Normal0"/>
                                  <w:spacing w:before="33" w:line="215" w:lineRule="auto"/>
                                  <w:ind w:left="90" w:firstLine="90"/>
                                  <w:jc w:val="left"/>
                                  <w:textDirection w:val="btLr"/>
                                </w:pPr>
                                <w:r>
                                  <w:rPr>
                                    <w:rFonts w:ascii="Calibri" w:eastAsia="Calibri" w:hAnsi="Calibri" w:cs="Calibri"/>
                                    <w:color w:val="000000"/>
                                    <w:sz w:val="22"/>
                                  </w:rPr>
                                  <w:t>Revisión documental</w:t>
                                </w:r>
                              </w:p>
                              <w:p w14:paraId="5BA006C3" w14:textId="77777777" w:rsidR="00663CDF" w:rsidRDefault="00F71B39">
                                <w:pPr>
                                  <w:pStyle w:val="Normal0"/>
                                  <w:spacing w:before="33" w:line="215" w:lineRule="auto"/>
                                  <w:ind w:left="90" w:firstLine="90"/>
                                  <w:jc w:val="left"/>
                                  <w:textDirection w:val="btLr"/>
                                </w:pPr>
                                <w:r>
                                  <w:rPr>
                                    <w:rFonts w:ascii="Calibri" w:eastAsia="Calibri" w:hAnsi="Calibri" w:cs="Calibri"/>
                                    <w:color w:val="000000"/>
                                    <w:sz w:val="22"/>
                                  </w:rPr>
                                  <w:t>Grupo Focal</w:t>
                                </w:r>
                              </w:p>
                            </w:txbxContent>
                          </wps:txbx>
                          <wps:bodyPr spcFirstLastPara="1" wrap="square" lIns="78225" tIns="78225" rIns="78225" bIns="78225" anchor="t" anchorCtr="0">
                            <a:noAutofit/>
                          </wps:bodyPr>
                        </wps:wsp>
                        <wps:wsp>
                          <wps:cNvPr id="529301858" name="Flecha: a la derecha 529301858"/>
                          <wps:cNvSpPr/>
                          <wps:spPr>
                            <a:xfrm>
                              <a:off x="3424580" y="106849"/>
                              <a:ext cx="398744" cy="308900"/>
                            </a:xfrm>
                            <a:prstGeom prst="rightArrow">
                              <a:avLst>
                                <a:gd name="adj1" fmla="val 60000"/>
                                <a:gd name="adj2" fmla="val 50000"/>
                              </a:avLst>
                            </a:prstGeom>
                            <a:solidFill>
                              <a:schemeClr val="accent3"/>
                            </a:solidFill>
                            <a:ln>
                              <a:noFill/>
                            </a:ln>
                          </wps:spPr>
                          <wps:txbx>
                            <w:txbxContent>
                              <w:p w14:paraId="72A3D3EC"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511280094" name="Cuadro de texto 511280094"/>
                          <wps:cNvSpPr txBox="1"/>
                          <wps:spPr>
                            <a:xfrm>
                              <a:off x="3424580" y="168629"/>
                              <a:ext cx="306074" cy="185340"/>
                            </a:xfrm>
                            <a:prstGeom prst="rect">
                              <a:avLst/>
                            </a:prstGeom>
                            <a:noFill/>
                            <a:ln>
                              <a:noFill/>
                            </a:ln>
                          </wps:spPr>
                          <wps:txbx>
                            <w:txbxContent>
                              <w:p w14:paraId="0D0B940D" w14:textId="77777777" w:rsidR="00663CDF" w:rsidRDefault="00663CDF">
                                <w:pPr>
                                  <w:pStyle w:val="Normal0"/>
                                  <w:spacing w:line="215" w:lineRule="auto"/>
                                  <w:jc w:val="center"/>
                                  <w:textDirection w:val="btLr"/>
                                </w:pPr>
                              </w:p>
                            </w:txbxContent>
                          </wps:txbx>
                          <wps:bodyPr spcFirstLastPara="1" wrap="square" lIns="0" tIns="0" rIns="0" bIns="0" anchor="ctr" anchorCtr="0">
                            <a:noAutofit/>
                          </wps:bodyPr>
                        </wps:wsp>
                        <wps:wsp>
                          <wps:cNvPr id="969666091" name="Rectángulo: esquinas redondeadas 969666091"/>
                          <wps:cNvSpPr/>
                          <wps:spPr>
                            <a:xfrm>
                              <a:off x="3988841" y="13158"/>
                              <a:ext cx="1240708" cy="1036799"/>
                            </a:xfrm>
                            <a:prstGeom prst="roundRect">
                              <a:avLst>
                                <a:gd name="adj" fmla="val 10000"/>
                              </a:avLst>
                            </a:prstGeom>
                            <a:solidFill>
                              <a:schemeClr val="accent4"/>
                            </a:solidFill>
                            <a:ln w="12700" cap="flat" cmpd="sng">
                              <a:solidFill>
                                <a:schemeClr val="lt1"/>
                              </a:solidFill>
                              <a:prstDash val="solid"/>
                              <a:miter lim="800000"/>
                              <a:headEnd type="none" w="sm" len="sm"/>
                              <a:tailEnd type="none" w="sm" len="sm"/>
                            </a:ln>
                          </wps:spPr>
                          <wps:txbx>
                            <w:txbxContent>
                              <w:p w14:paraId="0E27B00A"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788070323" name="Cuadro de texto 788070323"/>
                          <wps:cNvSpPr txBox="1"/>
                          <wps:spPr>
                            <a:xfrm>
                              <a:off x="3988841" y="13158"/>
                              <a:ext cx="1240708" cy="496283"/>
                            </a:xfrm>
                            <a:prstGeom prst="rect">
                              <a:avLst/>
                            </a:prstGeom>
                            <a:noFill/>
                            <a:ln>
                              <a:noFill/>
                            </a:ln>
                          </wps:spPr>
                          <wps:txbx>
                            <w:txbxContent>
                              <w:p w14:paraId="74C84D3B" w14:textId="77777777" w:rsidR="00663CDF" w:rsidRDefault="00F71B39">
                                <w:pPr>
                                  <w:pStyle w:val="Normal0"/>
                                  <w:spacing w:line="215" w:lineRule="auto"/>
                                  <w:jc w:val="left"/>
                                  <w:textDirection w:val="btLr"/>
                                </w:pPr>
                                <w:r>
                                  <w:rPr>
                                    <w:rFonts w:ascii="Calibri" w:eastAsia="Calibri" w:hAnsi="Calibri" w:cs="Calibri"/>
                                    <w:color w:val="000000"/>
                                    <w:sz w:val="22"/>
                                  </w:rPr>
                                  <w:t>Fase 3: Modelo de gestión</w:t>
                                </w:r>
                              </w:p>
                            </w:txbxContent>
                          </wps:txbx>
                          <wps:bodyPr spcFirstLastPara="1" wrap="square" lIns="78225" tIns="78225" rIns="78225" bIns="41900" anchor="t" anchorCtr="0">
                            <a:noAutofit/>
                          </wps:bodyPr>
                        </wps:wsp>
                        <wps:wsp>
                          <wps:cNvPr id="1403374291" name="Rectángulo: esquinas redondeadas 1403374291"/>
                          <wps:cNvSpPr/>
                          <wps:spPr>
                            <a:xfrm>
                              <a:off x="4242962" y="509441"/>
                              <a:ext cx="1240708" cy="1382400"/>
                            </a:xfrm>
                            <a:prstGeom prst="roundRect">
                              <a:avLst>
                                <a:gd name="adj" fmla="val 10000"/>
                              </a:avLst>
                            </a:prstGeom>
                            <a:solidFill>
                              <a:schemeClr val="lt1">
                                <a:alpha val="89803"/>
                              </a:schemeClr>
                            </a:solidFill>
                            <a:ln w="12700" cap="flat" cmpd="sng">
                              <a:solidFill>
                                <a:schemeClr val="accent4"/>
                              </a:solidFill>
                              <a:prstDash val="solid"/>
                              <a:miter lim="800000"/>
                              <a:headEnd type="none" w="sm" len="sm"/>
                              <a:tailEnd type="none" w="sm" len="sm"/>
                            </a:ln>
                          </wps:spPr>
                          <wps:txbx>
                            <w:txbxContent>
                              <w:p w14:paraId="60061E4C" w14:textId="77777777" w:rsidR="00663CDF" w:rsidRDefault="00663CDF">
                                <w:pPr>
                                  <w:pStyle w:val="Normal0"/>
                                  <w:spacing w:line="240" w:lineRule="auto"/>
                                  <w:jc w:val="left"/>
                                  <w:textDirection w:val="btLr"/>
                                </w:pPr>
                              </w:p>
                            </w:txbxContent>
                          </wps:txbx>
                          <wps:bodyPr spcFirstLastPara="1" wrap="square" lIns="91425" tIns="91425" rIns="91425" bIns="91425" anchor="ctr" anchorCtr="0">
                            <a:noAutofit/>
                          </wps:bodyPr>
                        </wps:wsp>
                        <wps:wsp>
                          <wps:cNvPr id="736935048" name="Cuadro de texto 736935048"/>
                          <wps:cNvSpPr txBox="1"/>
                          <wps:spPr>
                            <a:xfrm>
                              <a:off x="4279301" y="545780"/>
                              <a:ext cx="1168030" cy="1309722"/>
                            </a:xfrm>
                            <a:prstGeom prst="rect">
                              <a:avLst/>
                            </a:prstGeom>
                            <a:noFill/>
                            <a:ln>
                              <a:noFill/>
                            </a:ln>
                          </wps:spPr>
                          <wps:txbx>
                            <w:txbxContent>
                              <w:p w14:paraId="1722BF2A" w14:textId="77777777" w:rsidR="00663CDF" w:rsidRDefault="00F71B39">
                                <w:pPr>
                                  <w:pStyle w:val="Normal0"/>
                                  <w:spacing w:line="215" w:lineRule="auto"/>
                                  <w:ind w:left="90" w:firstLine="90"/>
                                  <w:jc w:val="left"/>
                                  <w:textDirection w:val="btLr"/>
                                </w:pPr>
                                <w:r>
                                  <w:rPr>
                                    <w:rFonts w:ascii="Calibri" w:eastAsia="Calibri" w:hAnsi="Calibri" w:cs="Calibri"/>
                                    <w:color w:val="000000"/>
                                    <w:sz w:val="22"/>
                                  </w:rPr>
                                  <w:t>Documental descriptivo</w:t>
                                </w:r>
                              </w:p>
                              <w:p w14:paraId="79971486" w14:textId="77777777" w:rsidR="00663CDF" w:rsidRDefault="00F71B39">
                                <w:pPr>
                                  <w:pStyle w:val="Normal0"/>
                                  <w:spacing w:before="33" w:line="215" w:lineRule="auto"/>
                                  <w:ind w:left="90" w:firstLine="90"/>
                                  <w:jc w:val="left"/>
                                  <w:textDirection w:val="btLr"/>
                                </w:pPr>
                                <w:r>
                                  <w:rPr>
                                    <w:rFonts w:ascii="Calibri" w:eastAsia="Calibri" w:hAnsi="Calibri" w:cs="Calibri"/>
                                    <w:color w:val="000000"/>
                                    <w:sz w:val="22"/>
                                  </w:rPr>
                                  <w:t>Grupo Focal</w:t>
                                </w:r>
                              </w:p>
                            </w:txbxContent>
                          </wps:txbx>
                          <wps:bodyPr spcFirstLastPara="1" wrap="square" lIns="78225" tIns="78225" rIns="78225" bIns="78225" anchor="t"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xmlns:wp14="http://schemas.microsoft.com/office/word/2010/wordml" xmlns:a14="http://schemas.microsoft.com/office/drawing/2010/main" xmlns:w16sdtfl="http://schemas.microsoft.com/office/word/2024/wordml/sdtformatlock" xmlns:w16sdtdh="http://schemas.microsoft.com/office/word/2020/wordml/sdtdatahash" xmlns:w16du="http://schemas.microsoft.com/office/word/2023/wordml/word16du" xmlns:oel="http://schemas.microsoft.com/office/2019/extlst">
            <w:drawing>
              <wp:inline xmlns:wp14="http://schemas.microsoft.com/office/word/2010/wordprocessingDrawing" distT="0" distB="0" distL="0" distR="0" wp14:anchorId="6C407F7D" wp14:editId="7777777">
                <wp:extent cx="5486400" cy="1905000"/>
                <wp:effectExtent l="0" t="0" r="0" b="0"/>
                <wp:docPr id="594388678" name="image6.png"/>
                <a:graphic>
                  <a:graphicData uri="http://schemas.openxmlformats.org/drawingml/2006/picture">
                    <pic:pic>
                      <pic:nvPicPr>
                        <pic:cNvPr id="0" name="image6.png"/>
                        <pic:cNvPicPr preferRelativeResize="0"/>
                      </pic:nvPicPr>
                      <pic:blipFill>
                        <a:blip r:embed="rId8"/>
                        <a:srcRect/>
                        <a:stretch>
                          <a:fillRect/>
                        </a:stretch>
                      </pic:blipFill>
                      <pic:spPr>
                        <a:xfrm>
                          <a:off x="0" y="0"/>
                          <a:ext cx="5486400" cy="1905000"/>
                        </a:xfrm>
                        <a:prstGeom prst="rect"/>
                        <a:ln/>
                      </pic:spPr>
                    </pic:pic>
                  </a:graphicData>
                </a:graphic>
              </wp:inline>
            </w:drawing>
          </mc:Fallback>
        </mc:AlternateContent>
      </w:r>
    </w:p>
    <w:p w14:paraId="0000018B" w14:textId="77777777" w:rsidR="00663CDF" w:rsidRDefault="00F71B39">
      <w:pPr>
        <w:pStyle w:val="Normal0"/>
        <w:spacing w:line="360" w:lineRule="auto"/>
        <w:rPr>
          <w:b/>
          <w:sz w:val="18"/>
          <w:szCs w:val="18"/>
        </w:rPr>
      </w:pPr>
      <w:r>
        <w:rPr>
          <w:b/>
          <w:sz w:val="18"/>
          <w:szCs w:val="18"/>
        </w:rPr>
        <w:t>Fuente: Elaboración propia</w:t>
      </w:r>
    </w:p>
    <w:p w14:paraId="0000018C" w14:textId="77777777" w:rsidR="00663CDF" w:rsidRDefault="00663CDF">
      <w:pPr>
        <w:pStyle w:val="Normal0"/>
        <w:spacing w:line="360" w:lineRule="auto"/>
      </w:pPr>
    </w:p>
    <w:p w14:paraId="0000018D" w14:textId="77777777" w:rsidR="00663CDF" w:rsidRDefault="00663CDF">
      <w:pPr>
        <w:pStyle w:val="Normal0"/>
        <w:spacing w:line="360" w:lineRule="auto"/>
      </w:pPr>
    </w:p>
    <w:p w14:paraId="0000018E" w14:textId="77777777" w:rsidR="00663CDF" w:rsidRDefault="00F71B39">
      <w:pPr>
        <w:pStyle w:val="Normal0"/>
        <w:spacing w:line="360" w:lineRule="auto"/>
      </w:pPr>
      <w:r>
        <w:t xml:space="preserve">Estas recomendaciones deben precisar mejoras en sistemas de organización, gobierno y administración para el desarrollo territorial.  </w:t>
      </w:r>
    </w:p>
    <w:p w14:paraId="0000018F" w14:textId="77777777" w:rsidR="00663CDF" w:rsidRDefault="00663CDF">
      <w:pPr>
        <w:pStyle w:val="Normal0"/>
        <w:spacing w:line="360" w:lineRule="auto"/>
      </w:pPr>
    </w:p>
    <w:p w14:paraId="00000190" w14:textId="77777777" w:rsidR="00663CDF" w:rsidRDefault="00F71B39">
      <w:pPr>
        <w:pStyle w:val="Ttulo3"/>
        <w:numPr>
          <w:ilvl w:val="2"/>
          <w:numId w:val="9"/>
        </w:numPr>
        <w:spacing w:line="360" w:lineRule="auto"/>
        <w:ind w:left="709" w:hanging="709"/>
      </w:pPr>
      <w:bookmarkStart w:id="17" w:name="_heading=h.ts0nfisea2m5" w:colFirst="0" w:colLast="0"/>
      <w:bookmarkEnd w:id="17"/>
      <w:r>
        <w:t>Alcances y limitaciones</w:t>
      </w:r>
    </w:p>
    <w:p w14:paraId="00000191" w14:textId="77777777" w:rsidR="00663CDF" w:rsidRDefault="00663CDF">
      <w:pPr>
        <w:pStyle w:val="Normal0"/>
        <w:spacing w:line="360" w:lineRule="auto"/>
        <w:rPr>
          <w:b/>
        </w:rPr>
      </w:pPr>
    </w:p>
    <w:p w14:paraId="00000192" w14:textId="77777777" w:rsidR="00663CDF" w:rsidRDefault="00F71B39">
      <w:pPr>
        <w:pStyle w:val="Normal0"/>
        <w:spacing w:line="360" w:lineRule="auto"/>
      </w:pPr>
      <w:r>
        <w:rPr>
          <w:b/>
        </w:rPr>
        <w:t>Alcances:</w:t>
      </w:r>
    </w:p>
    <w:p w14:paraId="00000193" w14:textId="77777777" w:rsidR="00663CDF" w:rsidRDefault="00F71B39">
      <w:pPr>
        <w:pStyle w:val="Normal0"/>
        <w:numPr>
          <w:ilvl w:val="0"/>
          <w:numId w:val="1"/>
        </w:numPr>
        <w:spacing w:line="360" w:lineRule="auto"/>
      </w:pPr>
      <w:r>
        <w:t xml:space="preserve">Permite un análisis integral de la </w:t>
      </w:r>
      <w:r>
        <w:rPr>
          <w:b/>
        </w:rPr>
        <w:t>gestión fiscal y social de Turbaco</w:t>
      </w:r>
      <w:r>
        <w:t xml:space="preserve"> en un período de ocho años.</w:t>
      </w:r>
    </w:p>
    <w:p w14:paraId="00000194" w14:textId="77777777" w:rsidR="00663CDF" w:rsidRDefault="00F71B39">
      <w:pPr>
        <w:pStyle w:val="Normal0"/>
        <w:numPr>
          <w:ilvl w:val="0"/>
          <w:numId w:val="1"/>
        </w:numPr>
        <w:spacing w:line="360" w:lineRule="auto"/>
      </w:pPr>
      <w:r>
        <w:t>Aporta un modelo de evaluación replicable en otros municipios con características similares.</w:t>
      </w:r>
    </w:p>
    <w:p w14:paraId="00000195" w14:textId="77777777" w:rsidR="00663CDF" w:rsidRDefault="00F71B39">
      <w:pPr>
        <w:pStyle w:val="Normal0"/>
        <w:numPr>
          <w:ilvl w:val="0"/>
          <w:numId w:val="1"/>
        </w:numPr>
        <w:spacing w:line="360" w:lineRule="auto"/>
      </w:pPr>
      <w:r>
        <w:t xml:space="preserve">Genera insumos para la mejora de la </w:t>
      </w:r>
      <w:r>
        <w:rPr>
          <w:b/>
        </w:rPr>
        <w:t>gestión pública local</w:t>
      </w:r>
      <w:r>
        <w:t xml:space="preserve"> y la optimización del uso de recursos. </w:t>
      </w:r>
    </w:p>
    <w:p w14:paraId="00000196" w14:textId="77777777" w:rsidR="00663CDF" w:rsidRDefault="00663CDF">
      <w:pPr>
        <w:pStyle w:val="Normal0"/>
        <w:numPr>
          <w:ilvl w:val="0"/>
          <w:numId w:val="1"/>
        </w:numPr>
        <w:spacing w:line="360" w:lineRule="auto"/>
      </w:pPr>
    </w:p>
    <w:p w14:paraId="00000197" w14:textId="77777777" w:rsidR="00663CDF" w:rsidRDefault="00F71B39">
      <w:pPr>
        <w:pStyle w:val="Normal0"/>
        <w:spacing w:line="360" w:lineRule="auto"/>
      </w:pPr>
      <w:r>
        <w:t xml:space="preserve"> </w:t>
      </w:r>
      <w:r>
        <w:rPr>
          <w:b/>
        </w:rPr>
        <w:t>Limitaciones:</w:t>
      </w:r>
    </w:p>
    <w:p w14:paraId="00000198" w14:textId="77777777" w:rsidR="00663CDF" w:rsidRDefault="00F71B39">
      <w:pPr>
        <w:pStyle w:val="Normal0"/>
        <w:numPr>
          <w:ilvl w:val="0"/>
          <w:numId w:val="2"/>
        </w:numPr>
        <w:spacing w:line="360" w:lineRule="auto"/>
      </w:pPr>
      <w:r>
        <w:rPr>
          <w:b/>
        </w:rPr>
        <w:t>Acceso a información:</w:t>
      </w:r>
      <w:r>
        <w:t xml:space="preserve"> Algunas bases de datos municipales pueden tener limitaciones en la disponibilidad de información detallada.</w:t>
      </w:r>
    </w:p>
    <w:p w14:paraId="00000199" w14:textId="77777777" w:rsidR="00663CDF" w:rsidRDefault="00F71B39">
      <w:pPr>
        <w:pStyle w:val="Normal0"/>
        <w:numPr>
          <w:ilvl w:val="0"/>
          <w:numId w:val="2"/>
        </w:numPr>
        <w:spacing w:line="360" w:lineRule="auto"/>
      </w:pPr>
      <w:r>
        <w:rPr>
          <w:b/>
        </w:rPr>
        <w:t>Muestra limitada:</w:t>
      </w:r>
      <w:r>
        <w:t xml:space="preserve"> Los grupos focales pueden no representar la totalidad de la percepción ciudadana.</w:t>
      </w:r>
    </w:p>
    <w:p w14:paraId="0000019A" w14:textId="77777777" w:rsidR="00663CDF" w:rsidRDefault="00F71B39">
      <w:pPr>
        <w:pStyle w:val="Normal0"/>
        <w:numPr>
          <w:ilvl w:val="0"/>
          <w:numId w:val="2"/>
        </w:numPr>
        <w:spacing w:line="360" w:lineRule="auto"/>
      </w:pPr>
      <w:r>
        <w:rPr>
          <w:b/>
        </w:rPr>
        <w:lastRenderedPageBreak/>
        <w:t>Factores externos:</w:t>
      </w:r>
      <w:r>
        <w:t xml:space="preserve"> Eventos como la pandemia de COVID-19 pueden haber influenciado los datos financieros y administrativos.</w:t>
      </w:r>
    </w:p>
    <w:p w14:paraId="0000019B" w14:textId="77777777" w:rsidR="00663CDF" w:rsidRDefault="00663CDF">
      <w:pPr>
        <w:pStyle w:val="Normal0"/>
        <w:spacing w:line="360" w:lineRule="auto"/>
      </w:pPr>
    </w:p>
    <w:p w14:paraId="0000019C" w14:textId="77777777" w:rsidR="00663CDF" w:rsidRDefault="00F71B39">
      <w:pPr>
        <w:pStyle w:val="Ttulo3"/>
        <w:numPr>
          <w:ilvl w:val="2"/>
          <w:numId w:val="9"/>
        </w:numPr>
        <w:spacing w:line="360" w:lineRule="auto"/>
        <w:ind w:left="709" w:hanging="709"/>
      </w:pPr>
      <w:bookmarkStart w:id="18" w:name="_heading=h.9h7v5mgll5ei" w:colFirst="0" w:colLast="0"/>
      <w:bookmarkEnd w:id="18"/>
      <w:r>
        <w:t xml:space="preserve">Operacionalización de variables </w:t>
      </w:r>
    </w:p>
    <w:p w14:paraId="0000019D" w14:textId="77777777" w:rsidR="00663CDF" w:rsidRDefault="00F71B39">
      <w:pPr>
        <w:pStyle w:val="Normal0"/>
        <w:pBdr>
          <w:top w:val="nil"/>
          <w:left w:val="nil"/>
          <w:bottom w:val="nil"/>
          <w:right w:val="nil"/>
          <w:between w:val="nil"/>
        </w:pBdr>
        <w:spacing w:after="160" w:line="360" w:lineRule="auto"/>
        <w:rPr>
          <w:b/>
          <w:color w:val="000000"/>
        </w:rPr>
      </w:pPr>
      <w:bookmarkStart w:id="19" w:name="_heading=h.37fj7h4vs96r" w:colFirst="0" w:colLast="0"/>
      <w:bookmarkEnd w:id="19"/>
      <w:r>
        <w:rPr>
          <w:b/>
          <w:color w:val="000000"/>
        </w:rPr>
        <w:t xml:space="preserve">Tabla 1. Operacionalización de variables </w:t>
      </w:r>
    </w:p>
    <w:tbl>
      <w:tblPr>
        <w:tblStyle w:val="a"/>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2458"/>
        <w:gridCol w:w="1947"/>
        <w:gridCol w:w="2708"/>
        <w:gridCol w:w="1715"/>
      </w:tblGrid>
      <w:tr w:rsidR="00663CDF" w14:paraId="6EEEE459" w14:textId="77777777" w:rsidTr="00663C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dxa"/>
          </w:tcPr>
          <w:p w14:paraId="0000019E" w14:textId="77777777" w:rsidR="00663CDF" w:rsidRDefault="00F71B39">
            <w:pPr>
              <w:pStyle w:val="Normal0"/>
              <w:spacing w:line="360" w:lineRule="auto"/>
            </w:pPr>
            <w:r>
              <w:t>Variable</w:t>
            </w:r>
          </w:p>
        </w:tc>
        <w:tc>
          <w:tcPr>
            <w:tcW w:w="1947" w:type="dxa"/>
          </w:tcPr>
          <w:p w14:paraId="0000019F" w14:textId="77777777" w:rsidR="00663CDF" w:rsidRDefault="00F71B39">
            <w:pPr>
              <w:pStyle w:val="Normal0"/>
              <w:spacing w:line="360" w:lineRule="auto"/>
              <w:cnfStyle w:val="100000000000" w:firstRow="1" w:lastRow="0" w:firstColumn="0" w:lastColumn="0" w:oddVBand="0" w:evenVBand="0" w:oddHBand="0" w:evenHBand="0" w:firstRowFirstColumn="0" w:firstRowLastColumn="0" w:lastRowFirstColumn="0" w:lastRowLastColumn="0"/>
            </w:pPr>
            <w:r>
              <w:t>Dimensión</w:t>
            </w:r>
          </w:p>
        </w:tc>
        <w:tc>
          <w:tcPr>
            <w:tcW w:w="2708" w:type="dxa"/>
          </w:tcPr>
          <w:p w14:paraId="000001A0" w14:textId="77777777" w:rsidR="00663CDF" w:rsidRDefault="00F71B39">
            <w:pPr>
              <w:pStyle w:val="Normal0"/>
              <w:spacing w:line="360" w:lineRule="auto"/>
              <w:cnfStyle w:val="100000000000" w:firstRow="1" w:lastRow="0" w:firstColumn="0" w:lastColumn="0" w:oddVBand="0" w:evenVBand="0" w:oddHBand="0" w:evenHBand="0" w:firstRowFirstColumn="0" w:firstRowLastColumn="0" w:lastRowFirstColumn="0" w:lastRowLastColumn="0"/>
            </w:pPr>
            <w:r>
              <w:t>Indicador</w:t>
            </w:r>
          </w:p>
        </w:tc>
        <w:tc>
          <w:tcPr>
            <w:tcW w:w="1715" w:type="dxa"/>
          </w:tcPr>
          <w:p w14:paraId="000001A1" w14:textId="77777777" w:rsidR="00663CDF" w:rsidRDefault="00F71B39">
            <w:pPr>
              <w:pStyle w:val="Normal0"/>
              <w:spacing w:line="360" w:lineRule="auto"/>
              <w:cnfStyle w:val="100000000000" w:firstRow="1" w:lastRow="0" w:firstColumn="0" w:lastColumn="0" w:oddVBand="0" w:evenVBand="0" w:oddHBand="0" w:evenHBand="0" w:firstRowFirstColumn="0" w:firstRowLastColumn="0" w:lastRowFirstColumn="0" w:lastRowLastColumn="0"/>
            </w:pPr>
            <w:r>
              <w:t>Fuente</w:t>
            </w:r>
          </w:p>
        </w:tc>
      </w:tr>
      <w:tr w:rsidR="00663CDF" w14:paraId="087FE452" w14:textId="77777777" w:rsidTr="00663C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dxa"/>
          </w:tcPr>
          <w:p w14:paraId="000001A2" w14:textId="77777777" w:rsidR="00663CDF" w:rsidRDefault="00F71B39">
            <w:pPr>
              <w:pStyle w:val="Normal0"/>
              <w:spacing w:line="360" w:lineRule="auto"/>
            </w:pPr>
            <w:r>
              <w:t>Categorización municipal</w:t>
            </w:r>
          </w:p>
        </w:tc>
        <w:tc>
          <w:tcPr>
            <w:tcW w:w="1947" w:type="dxa"/>
          </w:tcPr>
          <w:p w14:paraId="000001A3"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Fiscalidad local</w:t>
            </w:r>
          </w:p>
        </w:tc>
        <w:tc>
          <w:tcPr>
            <w:tcW w:w="2708" w:type="dxa"/>
          </w:tcPr>
          <w:p w14:paraId="000001A4"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 de gasto de funcionamiento sobre ICLD</w:t>
            </w:r>
          </w:p>
        </w:tc>
        <w:tc>
          <w:tcPr>
            <w:tcW w:w="1715" w:type="dxa"/>
          </w:tcPr>
          <w:p w14:paraId="000001A5"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DNP, Terridata</w:t>
            </w:r>
          </w:p>
        </w:tc>
      </w:tr>
      <w:tr w:rsidR="00663CDF" w14:paraId="61E68690" w14:textId="77777777" w:rsidTr="00663CDF">
        <w:tc>
          <w:tcPr>
            <w:cnfStyle w:val="001000000000" w:firstRow="0" w:lastRow="0" w:firstColumn="1" w:lastColumn="0" w:oddVBand="0" w:evenVBand="0" w:oddHBand="0" w:evenHBand="0" w:firstRowFirstColumn="0" w:firstRowLastColumn="0" w:lastRowFirstColumn="0" w:lastRowLastColumn="0"/>
            <w:tcW w:w="2458" w:type="dxa"/>
          </w:tcPr>
          <w:p w14:paraId="000001A6" w14:textId="77777777" w:rsidR="00663CDF" w:rsidRDefault="00F71B39">
            <w:pPr>
              <w:pStyle w:val="Normal0"/>
              <w:spacing w:line="360" w:lineRule="auto"/>
            </w:pPr>
            <w:r>
              <w:t>Descentralización</w:t>
            </w:r>
          </w:p>
        </w:tc>
        <w:tc>
          <w:tcPr>
            <w:tcW w:w="1947" w:type="dxa"/>
          </w:tcPr>
          <w:p w14:paraId="000001A7" w14:textId="77777777" w:rsidR="00663CDF" w:rsidRDefault="00F71B39">
            <w:pPr>
              <w:pStyle w:val="Normal0"/>
              <w:spacing w:line="360" w:lineRule="auto"/>
              <w:cnfStyle w:val="000000000000" w:firstRow="0" w:lastRow="0" w:firstColumn="0" w:lastColumn="0" w:oddVBand="0" w:evenVBand="0" w:oddHBand="0" w:evenHBand="0" w:firstRowFirstColumn="0" w:firstRowLastColumn="0" w:lastRowFirstColumn="0" w:lastRowLastColumn="0"/>
            </w:pPr>
            <w:r>
              <w:t>Autonomía financiera</w:t>
            </w:r>
          </w:p>
        </w:tc>
        <w:tc>
          <w:tcPr>
            <w:tcW w:w="2708" w:type="dxa"/>
          </w:tcPr>
          <w:p w14:paraId="000001A8" w14:textId="77777777" w:rsidR="00663CDF" w:rsidRDefault="00F71B39">
            <w:pPr>
              <w:pStyle w:val="Normal0"/>
              <w:spacing w:line="360" w:lineRule="auto"/>
              <w:cnfStyle w:val="000000000000" w:firstRow="0" w:lastRow="0" w:firstColumn="0" w:lastColumn="0" w:oddVBand="0" w:evenVBand="0" w:oddHBand="0" w:evenHBand="0" w:firstRowFirstColumn="0" w:firstRowLastColumn="0" w:lastRowFirstColumn="0" w:lastRowLastColumn="0"/>
            </w:pPr>
            <w:r>
              <w:t>% de ingresos propios</w:t>
            </w:r>
          </w:p>
        </w:tc>
        <w:tc>
          <w:tcPr>
            <w:tcW w:w="1715" w:type="dxa"/>
          </w:tcPr>
          <w:p w14:paraId="000001A9" w14:textId="77777777" w:rsidR="00663CDF" w:rsidRDefault="00F71B39">
            <w:pPr>
              <w:pStyle w:val="Normal0"/>
              <w:spacing w:line="360" w:lineRule="auto"/>
              <w:cnfStyle w:val="000000000000" w:firstRow="0" w:lastRow="0" w:firstColumn="0" w:lastColumn="0" w:oddVBand="0" w:evenVBand="0" w:oddHBand="0" w:evenHBand="0" w:firstRowFirstColumn="0" w:firstRowLastColumn="0" w:lastRowFirstColumn="0" w:lastRowLastColumn="0"/>
            </w:pPr>
            <w:r>
              <w:t>DNP, CGN</w:t>
            </w:r>
          </w:p>
        </w:tc>
      </w:tr>
      <w:tr w:rsidR="00663CDF" w14:paraId="0711656C" w14:textId="77777777" w:rsidTr="00663C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dxa"/>
          </w:tcPr>
          <w:p w14:paraId="000001AA" w14:textId="77777777" w:rsidR="00663CDF" w:rsidRDefault="00F71B39">
            <w:pPr>
              <w:pStyle w:val="Normal0"/>
              <w:spacing w:line="360" w:lineRule="auto"/>
            </w:pPr>
            <w:r>
              <w:t>Gestión pública</w:t>
            </w:r>
          </w:p>
        </w:tc>
        <w:tc>
          <w:tcPr>
            <w:tcW w:w="1947" w:type="dxa"/>
          </w:tcPr>
          <w:p w14:paraId="000001AB"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Inversión social</w:t>
            </w:r>
          </w:p>
        </w:tc>
        <w:tc>
          <w:tcPr>
            <w:tcW w:w="2708" w:type="dxa"/>
          </w:tcPr>
          <w:p w14:paraId="000001AC"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 de ICLD destinado a bienes y servicios</w:t>
            </w:r>
          </w:p>
        </w:tc>
        <w:tc>
          <w:tcPr>
            <w:tcW w:w="1715" w:type="dxa"/>
          </w:tcPr>
          <w:p w14:paraId="000001AD"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Informes municipales</w:t>
            </w:r>
          </w:p>
        </w:tc>
      </w:tr>
      <w:tr w:rsidR="00663CDF" w14:paraId="49AF2D46" w14:textId="77777777" w:rsidTr="00663CDF">
        <w:tc>
          <w:tcPr>
            <w:cnfStyle w:val="001000000000" w:firstRow="0" w:lastRow="0" w:firstColumn="1" w:lastColumn="0" w:oddVBand="0" w:evenVBand="0" w:oddHBand="0" w:evenHBand="0" w:firstRowFirstColumn="0" w:firstRowLastColumn="0" w:lastRowFirstColumn="0" w:lastRowLastColumn="0"/>
            <w:tcW w:w="2458" w:type="dxa"/>
          </w:tcPr>
          <w:p w14:paraId="000001AE" w14:textId="77777777" w:rsidR="00663CDF" w:rsidRDefault="00F71B39">
            <w:pPr>
              <w:pStyle w:val="Normal0"/>
              <w:spacing w:line="360" w:lineRule="auto"/>
            </w:pPr>
            <w:r>
              <w:t>Desarrollo social</w:t>
            </w:r>
          </w:p>
        </w:tc>
        <w:tc>
          <w:tcPr>
            <w:tcW w:w="1947" w:type="dxa"/>
          </w:tcPr>
          <w:p w14:paraId="000001AF" w14:textId="77777777" w:rsidR="00663CDF" w:rsidRDefault="00F71B39">
            <w:pPr>
              <w:pStyle w:val="Normal0"/>
              <w:spacing w:line="360" w:lineRule="auto"/>
              <w:cnfStyle w:val="000000000000" w:firstRow="0" w:lastRow="0" w:firstColumn="0" w:lastColumn="0" w:oddVBand="0" w:evenVBand="0" w:oddHBand="0" w:evenHBand="0" w:firstRowFirstColumn="0" w:firstRowLastColumn="0" w:lastRowFirstColumn="0" w:lastRowLastColumn="0"/>
            </w:pPr>
            <w:r>
              <w:t>Calidad de vida</w:t>
            </w:r>
          </w:p>
        </w:tc>
        <w:tc>
          <w:tcPr>
            <w:tcW w:w="2708" w:type="dxa"/>
          </w:tcPr>
          <w:p w14:paraId="000001B0" w14:textId="77777777" w:rsidR="00663CDF" w:rsidRDefault="00F71B39">
            <w:pPr>
              <w:pStyle w:val="Normal0"/>
              <w:spacing w:line="360" w:lineRule="auto"/>
              <w:cnfStyle w:val="000000000000" w:firstRow="0" w:lastRow="0" w:firstColumn="0" w:lastColumn="0" w:oddVBand="0" w:evenVBand="0" w:oddHBand="0" w:evenHBand="0" w:firstRowFirstColumn="0" w:firstRowLastColumn="0" w:lastRowFirstColumn="0" w:lastRowLastColumn="0"/>
            </w:pPr>
            <w:r>
              <w:t>Índice de Necesidades Básicas Satisfechas (NBS)</w:t>
            </w:r>
          </w:p>
        </w:tc>
        <w:tc>
          <w:tcPr>
            <w:tcW w:w="1715" w:type="dxa"/>
          </w:tcPr>
          <w:p w14:paraId="000001B1" w14:textId="77777777" w:rsidR="00663CDF" w:rsidRDefault="00F71B39">
            <w:pPr>
              <w:pStyle w:val="Normal0"/>
              <w:spacing w:line="360" w:lineRule="auto"/>
              <w:cnfStyle w:val="000000000000" w:firstRow="0" w:lastRow="0" w:firstColumn="0" w:lastColumn="0" w:oddVBand="0" w:evenVBand="0" w:oddHBand="0" w:evenHBand="0" w:firstRowFirstColumn="0" w:firstRowLastColumn="0" w:lastRowFirstColumn="0" w:lastRowLastColumn="0"/>
            </w:pPr>
            <w:r>
              <w:t>DANE, Terridata</w:t>
            </w:r>
          </w:p>
        </w:tc>
      </w:tr>
      <w:tr w:rsidR="00663CDF" w14:paraId="1ADFDAA4" w14:textId="77777777" w:rsidTr="00663C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dxa"/>
          </w:tcPr>
          <w:p w14:paraId="000001B2" w14:textId="77777777" w:rsidR="00663CDF" w:rsidRDefault="00F71B39">
            <w:pPr>
              <w:pStyle w:val="Normal0"/>
              <w:spacing w:line="360" w:lineRule="auto"/>
            </w:pPr>
            <w:r>
              <w:t>Percepción ciudadana</w:t>
            </w:r>
          </w:p>
        </w:tc>
        <w:tc>
          <w:tcPr>
            <w:tcW w:w="1947" w:type="dxa"/>
          </w:tcPr>
          <w:p w14:paraId="000001B3"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Evaluación de políticas públicas</w:t>
            </w:r>
          </w:p>
        </w:tc>
        <w:tc>
          <w:tcPr>
            <w:tcW w:w="2708" w:type="dxa"/>
          </w:tcPr>
          <w:p w14:paraId="000001B4"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Opinión sobre servicios municipales</w:t>
            </w:r>
          </w:p>
        </w:tc>
        <w:tc>
          <w:tcPr>
            <w:tcW w:w="1715" w:type="dxa"/>
          </w:tcPr>
          <w:p w14:paraId="000001B5" w14:textId="77777777" w:rsidR="00663CDF" w:rsidRDefault="00F71B39">
            <w:pPr>
              <w:pStyle w:val="Normal0"/>
              <w:spacing w:line="360" w:lineRule="auto"/>
              <w:cnfStyle w:val="000000100000" w:firstRow="0" w:lastRow="0" w:firstColumn="0" w:lastColumn="0" w:oddVBand="0" w:evenVBand="0" w:oddHBand="1" w:evenHBand="0" w:firstRowFirstColumn="0" w:firstRowLastColumn="0" w:lastRowFirstColumn="0" w:lastRowLastColumn="0"/>
            </w:pPr>
            <w:r>
              <w:t>Grupos focales</w:t>
            </w:r>
          </w:p>
        </w:tc>
      </w:tr>
    </w:tbl>
    <w:p w14:paraId="000001B6" w14:textId="77777777" w:rsidR="00663CDF" w:rsidRDefault="00F71B39">
      <w:pPr>
        <w:pStyle w:val="Normal0"/>
        <w:spacing w:line="360" w:lineRule="auto"/>
      </w:pPr>
      <w:r>
        <w:t>Elaboración propia.</w:t>
      </w:r>
    </w:p>
    <w:p w14:paraId="000001B7" w14:textId="77777777" w:rsidR="00663CDF" w:rsidRDefault="00F71B39">
      <w:pPr>
        <w:pStyle w:val="Normal0"/>
        <w:spacing w:after="160" w:line="360" w:lineRule="auto"/>
      </w:pPr>
      <w:r>
        <w:br w:type="page"/>
      </w:r>
    </w:p>
    <w:p w14:paraId="000001B8" w14:textId="77777777" w:rsidR="00663CDF" w:rsidRDefault="00F71B39">
      <w:pPr>
        <w:pStyle w:val="Ttulo1"/>
        <w:numPr>
          <w:ilvl w:val="0"/>
          <w:numId w:val="9"/>
        </w:numPr>
        <w:spacing w:line="360" w:lineRule="auto"/>
        <w:ind w:left="426" w:hanging="426"/>
      </w:pPr>
      <w:bookmarkStart w:id="20" w:name="_heading=h.v0vyrr6ybhbs" w:colFirst="0" w:colLast="0"/>
      <w:bookmarkEnd w:id="20"/>
      <w:r>
        <w:lastRenderedPageBreak/>
        <w:t>MARCO REFERENCIAL</w:t>
      </w:r>
    </w:p>
    <w:p w14:paraId="000001B9" w14:textId="77777777" w:rsidR="00663CDF" w:rsidRDefault="00663CDF">
      <w:pPr>
        <w:pStyle w:val="Normal0"/>
        <w:spacing w:line="360" w:lineRule="auto"/>
      </w:pPr>
    </w:p>
    <w:p w14:paraId="000001BA" w14:textId="77777777" w:rsidR="00663CDF" w:rsidRDefault="00F71B39">
      <w:pPr>
        <w:pStyle w:val="Ttulo2"/>
        <w:numPr>
          <w:ilvl w:val="1"/>
          <w:numId w:val="9"/>
        </w:numPr>
        <w:spacing w:line="360" w:lineRule="auto"/>
        <w:ind w:left="567" w:hanging="567"/>
      </w:pPr>
      <w:bookmarkStart w:id="21" w:name="_heading=h.at7ugyojnkgd" w:colFirst="0" w:colLast="0"/>
      <w:bookmarkEnd w:id="21"/>
      <w:r>
        <w:t xml:space="preserve">ANTECEDENTES </w:t>
      </w:r>
    </w:p>
    <w:p w14:paraId="000001BB"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 xml:space="preserve">La descentralización ha sido un elemento clave en las reformas económicas e institucionales de América Latina, enfocadas en la priorización del mercado. Desde la década de los ochenta, este proceso ha abarcado tanto aspectos políticos como fiscales, implicando la transferencia de recursos y responsabilidades del gobierno central a las entidades territoriales (Giraldo, 2009). Finot (2006) señala que la descentralización política ha sido parte de los procesos de democratización iniciados en esa década y ha tenido como objetivo prioritario la gobernabilidad democrática y la reducción de la denominada "deuda social". </w:t>
      </w:r>
    </w:p>
    <w:p w14:paraId="000001BC"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En ese sentido la Constitución de 1991 introdujo modificaciones fiscales para descentralizar el gasto y mejorar la cobertura de bienes públicos, redefiniendo las responsabilidades de los diferentes niveles de gobierno y el sistema de transferencias desde el nivel central al territorial (Delgado &amp; Acero, 2015). Restrepo (2015) indica que esta reforma buscaba dar mayor autonomía a las entidades territoriales, asignándoles recursos mediante transferencias presupuestales y traspaso de funciones. Aunque el sistema de transferencias ya había sido planteado con la reforma constitucional de 1986, solo con la Constitución de 1991 y la Ley 60 de 1993 que el proceso se agilizó, estableciendo mecanismos como el situado fiscal, la participación municipal, los fondos de cofinanciación y el Fondo Nacional de Regalías (FMI 1, 2002).</w:t>
      </w:r>
    </w:p>
    <w:p w14:paraId="000001BD"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El Banco Mundial (2001) destaca que la descentralización no solo incrementa la autonomía local, sino que también mejora la eficiencia en la asignación de recursos y la prestación de servicios, reduciendo la burocracia y permitiendo una gestión más acorde con las necesidades locales. No obstante, la descentralización también ha presentado desafíos en la equidad de la distribución de recursos, especialmente en territorios con menor capacidad administrativa o ingresos limitados.</w:t>
      </w:r>
    </w:p>
    <w:p w14:paraId="000001BE"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lastRenderedPageBreak/>
        <w:t>La categorización municipal en Colombia tiene antecedentes en la reforma constitucional de 1945, donde se intentó establecer una diferenciación entre municipios y ciudades según su población. Sin embargo, esta distinción no se incluyó en el texto final (Vidal J., 1985). Lo que sí se incorporó fue el Artículo 198, que establecía criterios de clasificación para todos los municipios con el objetivo de diferenciar su administración. Posteriormente, el Acto Legislativo N° 01 de 1968 modificó este artículo sin generar cambios sustanciales. A pesar de ello, el presidente Alberto Lleras Camargo argumentó a favor de la diversificación municipal, señalando que no era viable administrar todos los municipios bajo criterios uniformes, ya que Bogotá, Medellín y Barranquilla enfrentaban desafíos distintos a los de municipios más pequeños y con menos recursos (Lleras, 1944).</w:t>
      </w:r>
    </w:p>
    <w:p w14:paraId="000001BF"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 xml:space="preserve">En ese momento, Colombia conservaba un modelo centralista donde los alcaldes eran designados por los gobernadores, quienes a su vez eran nombrados por el </w:t>
      </w:r>
      <w:proofErr w:type="gramStart"/>
      <w:r>
        <w:rPr>
          <w:color w:val="000000"/>
        </w:rPr>
        <w:t>Presidente</w:t>
      </w:r>
      <w:proofErr w:type="gramEnd"/>
      <w:r>
        <w:rPr>
          <w:color w:val="000000"/>
        </w:rPr>
        <w:t xml:space="preserve"> de la República, conforme a la Constitución de 1886. No fue hasta la reforma del Acto Legislativo No. 1 de 1986 que se estableció la elección popular de alcaldes, lo que permitió la autonomía municipal en la gestión de servicios esenciales como salud, educación y saneamiento básico (Correa, 1990). Este avance representó un hito en la descentralización, pero también evidenció la necesidad de una mejor categorización de los municipios para distribuir recursos de manera más equitativa.</w:t>
      </w:r>
    </w:p>
    <w:p w14:paraId="000001C0"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La Ley 1551 estableció un esquema de categorización basado en población y situación geográfica, asignando a los municipios fronterizos con más de 70,000 habitantes una clasificación mínima de cuarta categoría. Sin embargo, esta norma no afectó las categorías definidas en la Ley 617, donde el principal criterio de clasificación sigue siendo los Ingresos Corrientes de Libre Destinación (ICLD). Posteriormente, el Decreto-Ley 2106 de 2019 introdujo ajustes menores, pero mantuvo los mismos criterios principales.</w:t>
      </w:r>
    </w:p>
    <w:p w14:paraId="000001C1"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El artículo 7 de la Le</w:t>
      </w:r>
    </w:p>
    <w:p w14:paraId="000001C2"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lastRenderedPageBreak/>
        <w:t xml:space="preserve">y N° 1551 de 2012 establece que la clasificación municipal se basa en habitantes, ingresos corrientes, importancia económica y ubicación geográfica. La categorización divide a los municipios en siete niveles: especial, primera, segunda, tercera, cuarta, quinta y sexta categoría. Si un municipio supera el límite anual del ICLD, se reclasifica en una categoría superior, mientras </w:t>
      </w:r>
      <w:proofErr w:type="gramStart"/>
      <w:r>
        <w:rPr>
          <w:color w:val="000000"/>
        </w:rPr>
        <w:t>que</w:t>
      </w:r>
      <w:proofErr w:type="gramEnd"/>
      <w:r>
        <w:rPr>
          <w:color w:val="000000"/>
        </w:rPr>
        <w:t xml:space="preserve"> si sus ingresos no corresponden a la población estimada, se mantiene en la categoría de sus ingresos. Ningún municipio puede aumentar o disminuir más de dos categorías de un año a otro, y aquellos que excedan el porcentaje de gastos de funcionamiento permitido serán reclasificados a una categoría inferior (Gutiérrez, 2017).</w:t>
      </w:r>
    </w:p>
    <w:p w14:paraId="000001C3"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La clasificación de los municipios tiene como factor común la población y los recursos económicos. Si bien la categorización busca mejorar la asignación de recursos estatales, sería beneficioso evaluar cada población individualmente para comprender mejor su incidencia en la calidad de vida y el acceso a bienes y servicios públicos. Sin embargo, la falta de información detallada y la dificultad de acceso a ciertos datos han limitado estos análisis.</w:t>
      </w:r>
    </w:p>
    <w:p w14:paraId="000001C4"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A nivel internacional, Colombia ha seguido una transición hacia la descentralización en línea con otros países latinoamericanos, influenciada por la crisis de la deuda y la necesidad de modernización administrativa (Finot, 2007; Borja, 1987). Según Moncayo (2006), la descentralización en el país ha respondido a presiones externas y cambios en el contexto económico global, lo que ha llevado a redefinir el papel del Estado. No obstante, Duque (2020) indica que la categorización municipal, aunque establecida en el Artículo 320 de la Constitución, ha sido históricamente subdesarrollada en términos normativos, con antecedentes en las reformas de 1945 y 1968.</w:t>
      </w:r>
    </w:p>
    <w:p w14:paraId="000001C5"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 xml:space="preserve">Por otro lado, la gestión pública ha evolucionado desde el modelo burocrático hacia enfoques más eficientes y orientados a resultados, por ejemplo, Sánchez (2020) señala que la Nueva Gestión Pública enfatiza la eficiencia, la transparencia y la participación ciudadana. Modelos recientes como el Gobierno Abierto y el Nuevo </w:t>
      </w:r>
      <w:r>
        <w:rPr>
          <w:color w:val="000000"/>
        </w:rPr>
        <w:lastRenderedPageBreak/>
        <w:t>Servicio Público han promovido la descentralización de la toma de decisiones y la implementación de estrategias más inclusivas (Folleco y Sevilla, 2020).</w:t>
      </w:r>
    </w:p>
    <w:p w14:paraId="000001C6"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La Ley 617 de 2000 ha sido fundamental para la regulación del gasto público territorial, estableciendo límites a los costos administrativos y mecanismos de control financiero (Congreso de Colombia, 2000). Esta ley también introdujo criterios más estrictos para la categorización de municipios, racionalizando la asignación de recursos y fortaleciendo la supervisión de los entes territoriales (Collazos &amp; Romero, 2005).</w:t>
      </w:r>
    </w:p>
    <w:p w14:paraId="000001C7"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A pesar de los avances normativos, la descentralización ha generado desigualdades en la distribución de recursos, favoreciendo a los municipios con mayor capacidad administrativa y económica. Esto ha impedido que municipios más pequeños aprovechen plenamente sus recursos y potencialidades para mejorar la calidad de vida de sus habitantes. Duque (2009) argumenta que, aunque Colombia ha adoptado diversos modelos de descentralización intergubernamental, la categorización territorial sigue siendo un aspecto pendiente de consolidación, generando inconsistencias en la gestión local.</w:t>
      </w:r>
    </w:p>
    <w:p w14:paraId="000001C8" w14:textId="77777777" w:rsidR="00663CDF" w:rsidRDefault="00663CDF">
      <w:pPr>
        <w:pStyle w:val="Normal0"/>
        <w:spacing w:line="360" w:lineRule="auto"/>
      </w:pPr>
    </w:p>
    <w:p w14:paraId="000001C9" w14:textId="77777777" w:rsidR="00663CDF" w:rsidRDefault="00F71B39">
      <w:pPr>
        <w:pStyle w:val="Ttulo2"/>
        <w:numPr>
          <w:ilvl w:val="1"/>
          <w:numId w:val="9"/>
        </w:numPr>
        <w:spacing w:line="360" w:lineRule="auto"/>
        <w:ind w:left="567" w:hanging="567"/>
      </w:pPr>
      <w:bookmarkStart w:id="22" w:name="_heading=h.z1dzm6q36szh" w:colFirst="0" w:colLast="0"/>
      <w:bookmarkEnd w:id="22"/>
      <w:r>
        <w:t>MARCO TEÓRICO</w:t>
      </w:r>
    </w:p>
    <w:p w14:paraId="000001CA" w14:textId="77777777" w:rsidR="00663CDF" w:rsidRDefault="00663CDF">
      <w:pPr>
        <w:pStyle w:val="Normal0"/>
        <w:spacing w:line="360" w:lineRule="auto"/>
      </w:pPr>
    </w:p>
    <w:p w14:paraId="000001CB" w14:textId="77777777" w:rsidR="00663CDF" w:rsidRDefault="00F71B39">
      <w:pPr>
        <w:pStyle w:val="Ttulo3"/>
        <w:spacing w:line="360" w:lineRule="auto"/>
      </w:pPr>
      <w:bookmarkStart w:id="23" w:name="_heading=h.r1itd77ctd2x" w:colFirst="0" w:colLast="0"/>
      <w:bookmarkEnd w:id="23"/>
      <w:r>
        <w:t>2.2.1. Descentralización</w:t>
      </w:r>
    </w:p>
    <w:p w14:paraId="000001CC" w14:textId="77777777" w:rsidR="00663CDF" w:rsidRDefault="00663CDF">
      <w:pPr>
        <w:pStyle w:val="Normal0"/>
        <w:spacing w:line="360" w:lineRule="auto"/>
      </w:pPr>
    </w:p>
    <w:p w14:paraId="000001CD" w14:textId="77777777" w:rsidR="00663CDF" w:rsidRDefault="00F71B39">
      <w:pPr>
        <w:pStyle w:val="Normal0"/>
        <w:spacing w:line="360" w:lineRule="auto"/>
      </w:pPr>
      <w:r>
        <w:t xml:space="preserve">La descentralización ha sido uno de los ejes centrales de las reformas económicas e institucionales en América Latina, especialmente desde la década de los ochenta, cuando se comenzó a priorizar el modelo de mercado (Giraldo, 2009). Este proceso abarca dimensiones políticas y fiscales, transfiriendo recursos y responsabilidades del gobierno central a las entidades territoriales (Finot, 2006).  </w:t>
      </w:r>
    </w:p>
    <w:p w14:paraId="000001CE" w14:textId="77777777" w:rsidR="00663CDF" w:rsidRDefault="00F71B39">
      <w:pPr>
        <w:pStyle w:val="Normal0"/>
        <w:spacing w:line="360" w:lineRule="auto"/>
      </w:pPr>
      <w:r>
        <w:t xml:space="preserve">La descentralización en Colombia tiene sus raíces en el siglo XIX, cuando se establecieron mecanismos de autonomía territorial con la Constitución de 1853 </w:t>
      </w:r>
      <w:r>
        <w:lastRenderedPageBreak/>
        <w:t>(Congreso de la República de la Nueva Granada, 1853), permitiendo la elección popular de gobernadores y la administración local de recursos. Sin embargo, este modelo fue reemplazado por una mayor centralización con la Constitución de 1886 (Congreso de Colombia, 1886), la cual estableció un Estado unitario con un control más estricto desde el gobierno central.</w:t>
      </w:r>
    </w:p>
    <w:p w14:paraId="000001CF" w14:textId="77777777" w:rsidR="00663CDF" w:rsidRDefault="00663CDF">
      <w:pPr>
        <w:pStyle w:val="Normal0"/>
        <w:spacing w:line="360" w:lineRule="auto"/>
      </w:pPr>
    </w:p>
    <w:p w14:paraId="000001D0" w14:textId="77777777" w:rsidR="00663CDF" w:rsidRDefault="00F71B39">
      <w:pPr>
        <w:pStyle w:val="Normal0"/>
        <w:spacing w:line="360" w:lineRule="auto"/>
      </w:pPr>
      <w:r>
        <w:t>Durante el siglo XX, se llevaron a cabo diversas reformas que impulsaron la descentralización, aunque de manera limitada. La Ley 4 de 1913 (Congreso de Colombia, 1913) otorgó ciertas competencias administrativas a los municipios, y en la década de 1960 se promovieron estrategias de planificación territorial con la creación de organismos como el Departamento Nacional de Planeación (DNP). Posteriormente, la Ley 14 de 1983 (Congreso de Colombia, 1983) estableció la autonomía fiscal de los municipios, facultándolos para recaudar tributos propios como el impuesto predial y el de industria y comercio.</w:t>
      </w:r>
    </w:p>
    <w:p w14:paraId="000001D1" w14:textId="77777777" w:rsidR="00663CDF" w:rsidRDefault="00663CDF">
      <w:pPr>
        <w:pStyle w:val="Normal0"/>
        <w:spacing w:line="360" w:lineRule="auto"/>
      </w:pPr>
    </w:p>
    <w:p w14:paraId="000001D2" w14:textId="77777777" w:rsidR="00663CDF" w:rsidRDefault="00F71B39">
      <w:pPr>
        <w:pStyle w:val="Normal0"/>
        <w:spacing w:line="360" w:lineRule="auto"/>
      </w:pPr>
      <w:r>
        <w:t>Uno de los hitos más importantes ocurrió con la Ley 12 de 1986 (Congreso de Colombia, 1986), la cual incrementó las transferencias de la Nación a los municipios y fortaleció su capacidad de inversión en sectores clave como educación y salud. Esta ley preparó el camino para la profundización del proceso con la Constitución de 1991 (Asamblea Nacional Constituyente, 1991), que consolidó la descentralización al establecer la elección popular de alcaldes y gobernadores, y garantizar mayores recursos para los entes territoriales a través del Sistema General de Participaciones (SGP).</w:t>
      </w:r>
    </w:p>
    <w:p w14:paraId="000001D3" w14:textId="77777777" w:rsidR="00663CDF" w:rsidRDefault="00663CDF">
      <w:pPr>
        <w:pStyle w:val="Normal0"/>
        <w:spacing w:line="360" w:lineRule="auto"/>
      </w:pPr>
    </w:p>
    <w:p w14:paraId="000001D4" w14:textId="77777777" w:rsidR="00663CDF" w:rsidRDefault="00F71B39">
      <w:pPr>
        <w:pStyle w:val="Normal0"/>
        <w:spacing w:line="360" w:lineRule="auto"/>
      </w:pPr>
      <w:r>
        <w:t xml:space="preserve">De allí que Finot (2006) argumenta que la descentralización política es parte de los procesos de democratización iniciados en los años 80, con un objetivo prioritario: reducir la denominada "deuda social" (p. 1). En Colombia, la Constitución de 1991 impulsó reformas fiscales con el fin de descentralizar el gasto público y mejorar la cobertura de bienes y servicios esenciales (Delgado &amp; Acero, 2015). Según Restrepo (2015), estas reformas otorgaron mayor autonomía a las entidades </w:t>
      </w:r>
      <w:r>
        <w:lastRenderedPageBreak/>
        <w:t>territoriales, estableciendo un sistema de transferencias que les asignaba recursos junto con nuevas funciones administrativas. El Banco Mundial (2001) destaca que la descentralización no solo incrementa la autonomía local, sino que también mejora la eficiencia en la asignación de recursos y la prestación de servicios públicos. Según este organismo, el traslado de competencias a los gobiernos locales reduce la burocracia y permite un mejor conocimiento de las necesidades locales.</w:t>
      </w:r>
    </w:p>
    <w:p w14:paraId="000001D5" w14:textId="77777777" w:rsidR="00663CDF" w:rsidRDefault="00663CDF">
      <w:pPr>
        <w:pStyle w:val="Normal0"/>
        <w:spacing w:line="360" w:lineRule="auto"/>
      </w:pPr>
    </w:p>
    <w:p w14:paraId="000001D6" w14:textId="77777777" w:rsidR="00663CDF" w:rsidRDefault="00F71B39">
      <w:pPr>
        <w:pStyle w:val="Ttulo3"/>
        <w:spacing w:line="360" w:lineRule="auto"/>
      </w:pPr>
      <w:bookmarkStart w:id="24" w:name="_heading=h.mhptet7j27fa" w:colFirst="0" w:colLast="0"/>
      <w:bookmarkEnd w:id="24"/>
      <w:r>
        <w:t>2.2.2. Categorización municipal</w:t>
      </w:r>
    </w:p>
    <w:p w14:paraId="000001D7" w14:textId="77777777" w:rsidR="00663CDF" w:rsidRDefault="00F71B39">
      <w:pPr>
        <w:pStyle w:val="Normal0"/>
        <w:spacing w:line="360" w:lineRule="auto"/>
      </w:pPr>
      <w:r>
        <w:t>El concepto de categorización municipal tiene antecedentes en la reforma constitucional de 1945, cuando se propuso clasificar los municipios según su población, aunque dicha distinción no fue incorporada en el texto constitucional (Vidal, 1985). La reforma de 1968 reafirmó la necesidad de diversificar los municipios, pero sin modificaciones significativas en su tratamiento jurídico.</w:t>
      </w:r>
    </w:p>
    <w:p w14:paraId="000001D8" w14:textId="77777777" w:rsidR="00663CDF" w:rsidRDefault="00663CDF">
      <w:pPr>
        <w:pStyle w:val="Normal0"/>
        <w:spacing w:line="360" w:lineRule="auto"/>
      </w:pPr>
    </w:p>
    <w:p w14:paraId="000001D9" w14:textId="77777777" w:rsidR="00663CDF" w:rsidRDefault="00F71B39">
      <w:pPr>
        <w:pStyle w:val="Normal0"/>
        <w:spacing w:line="360" w:lineRule="auto"/>
      </w:pPr>
      <w:r>
        <w:t xml:space="preserve">En este contexto, Alberto Lleras Camargo (1944) defendió la idea de diferenciar los municipios según su tamaño y recursos, argumentando que no era viable administrar de la misma manera a ciudades como Bogotá o Medellín y a municipios de menor población y recursos limitados. No obstante, la Constitución de 1886 mantenía una estructura centralista, donde los alcaldes eran designados por los gobernadores, quienes a su vez eran nombrados por el </w:t>
      </w:r>
      <w:proofErr w:type="gramStart"/>
      <w:r>
        <w:t>Presidente</w:t>
      </w:r>
      <w:proofErr w:type="gramEnd"/>
      <w:r>
        <w:t xml:space="preserve"> de la República. Fue hasta el Acto Legislativo No. 1 de 1986 que se instituyó la elección popular de alcaldes, consolidando el autogobierno municipal (Correa, 1990).</w:t>
      </w:r>
    </w:p>
    <w:p w14:paraId="000001DA" w14:textId="77777777" w:rsidR="00663CDF" w:rsidRDefault="00663CDF">
      <w:pPr>
        <w:pStyle w:val="Normal0"/>
        <w:spacing w:line="360" w:lineRule="auto"/>
      </w:pPr>
    </w:p>
    <w:p w14:paraId="000001DB" w14:textId="77777777" w:rsidR="00663CDF" w:rsidRDefault="00F71B39">
      <w:pPr>
        <w:pStyle w:val="Normal0"/>
        <w:spacing w:line="360" w:lineRule="auto"/>
      </w:pPr>
      <w:r>
        <w:t>Este cambio permitió que los alcaldes gestionaran directamente las necesidades locales en áreas clave como salud, educación, agua potable y saneamiento básico. Según Álvarez &amp; Figueri (2002), este avance en la descentralización fortaleció la participación ciudadana, vinculándola a procesos administrativos más democráticos.</w:t>
      </w:r>
    </w:p>
    <w:p w14:paraId="000001DC" w14:textId="77777777" w:rsidR="00663CDF" w:rsidRDefault="00F71B39">
      <w:pPr>
        <w:pStyle w:val="Normal0"/>
        <w:spacing w:line="360" w:lineRule="auto"/>
      </w:pPr>
      <w:r>
        <w:t xml:space="preserve">La Ley 1551 de 2012 introdujo un criterio adicional para la categorización municipal: la situación geográfica. Sin embargo, la normativa no modificó las categorías </w:t>
      </w:r>
      <w:r>
        <w:lastRenderedPageBreak/>
        <w:t>existentes desde la Ley 617 de 2000, que se basan en los Ingresos Corrientes de Libre Destinación (ICLD) como principal criterio de clasificación. En este sentido, si un municipio no alcanza los ingresos mínimos requeridos para su categoría demográfica, se reclasifica según sus ingresos.</w:t>
      </w:r>
    </w:p>
    <w:p w14:paraId="000001DD" w14:textId="77777777" w:rsidR="00663CDF" w:rsidRDefault="00663CDF">
      <w:pPr>
        <w:pStyle w:val="Normal0"/>
        <w:spacing w:line="360" w:lineRule="auto"/>
      </w:pPr>
    </w:p>
    <w:p w14:paraId="000001DE" w14:textId="77777777" w:rsidR="00663CDF" w:rsidRDefault="00F71B39">
      <w:pPr>
        <w:pStyle w:val="Normal0"/>
        <w:spacing w:line="360" w:lineRule="auto"/>
      </w:pPr>
      <w:r>
        <w:t>Las reformas recientes, como el Decreto-Ley 2106 de 2019, buscaron simplificar procesos administrativos sin alterar significativamente la estructura de categorización. Aunque la normativa ha evolucionado, persisten desafíos en la aplicación de criterios como la importancia económica y la ubicación geográfica, los cuales han sido considerados de manera superficial en las leyes vigentes (Gutiérrez, 2017).</w:t>
      </w:r>
    </w:p>
    <w:p w14:paraId="000001DF" w14:textId="77777777" w:rsidR="00663CDF" w:rsidRDefault="00663CDF">
      <w:pPr>
        <w:pStyle w:val="Normal0"/>
        <w:spacing w:line="360" w:lineRule="auto"/>
      </w:pPr>
    </w:p>
    <w:p w14:paraId="000001E0" w14:textId="77777777" w:rsidR="00663CDF" w:rsidRDefault="00F71B39">
      <w:pPr>
        <w:pStyle w:val="Normal0"/>
        <w:spacing w:line="360" w:lineRule="auto"/>
      </w:pPr>
      <w:r>
        <w:t>La categorización territorial sigue siendo un tema pendiente en Colombia. Aunque la Constitución de 1991 establece cuatro criterios básicos para la clasificación de municipios—población, ingresos, importancia económica y ubicación geográfica—, en la práctica, la legislación ha priorizado el factor financiero sobre los demás. En este sentido, se ha señalado la necesidad de un diseño normativo más coherente con las realidades locales, permitiendo que los municipios más pequeños puedan aprovechar sus recursos y mejorar su calidad de vida (Duque, 2009; 2020).</w:t>
      </w:r>
    </w:p>
    <w:p w14:paraId="000001E1" w14:textId="77777777" w:rsidR="00663CDF" w:rsidRDefault="00663CDF">
      <w:pPr>
        <w:pStyle w:val="Normal0"/>
        <w:spacing w:line="360" w:lineRule="auto"/>
      </w:pPr>
    </w:p>
    <w:p w14:paraId="000001E2" w14:textId="77777777" w:rsidR="00663CDF" w:rsidRDefault="00F71B39">
      <w:pPr>
        <w:pStyle w:val="Ttulo3"/>
        <w:spacing w:line="360" w:lineRule="auto"/>
      </w:pPr>
      <w:bookmarkStart w:id="25" w:name="_heading=h.uw6j5pqvzzjf" w:colFirst="0" w:colLast="0"/>
      <w:bookmarkEnd w:id="25"/>
      <w:r>
        <w:t>2.2.3. Gestión pública</w:t>
      </w:r>
    </w:p>
    <w:p w14:paraId="000001E3"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El concepto de gestión se refiere a la ejecución de acciones concretas y estratégicas para alcanzar objetivos en el menor tiempo posible y con la mayor calidad (Medina, 2008). La gestión pública, en particular, ha evolucionado como respuesta a los desafíos que enfrentan los gobiernos en la implementación de políticas y en la administración de los recursos públicos.</w:t>
      </w:r>
    </w:p>
    <w:p w14:paraId="000001E4"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Sánchez (2020) destaca que el modelo burocrático tradicional ha sido reemplazado por enfoques más modernos como la Nueva Gestión Pública (NGP)</w:t>
      </w:r>
      <w:r>
        <w:rPr>
          <w:b/>
          <w:color w:val="000000"/>
        </w:rPr>
        <w:t>,</w:t>
      </w:r>
      <w:r>
        <w:rPr>
          <w:color w:val="000000"/>
        </w:rPr>
        <w:t xml:space="preserve"> que enfatiza la eficiencia, la eficacia y la orientación al ciudadano como usuario de los servicios </w:t>
      </w:r>
      <w:r>
        <w:rPr>
          <w:color w:val="000000"/>
        </w:rPr>
        <w:lastRenderedPageBreak/>
        <w:t>públicos. Posteriormente, han surgido modelos como el Gobierno Abierto, el Nuevo Servicio Público y la Gestión Social Integral, que promueven la transparencia, la participación ciudadana y la colaboración interinstitucional.</w:t>
      </w:r>
    </w:p>
    <w:p w14:paraId="000001E5"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La evolución de la gestión pública ha estado ligada a crisis socioeconómicas que han desafiado la capacidad de respuesta de los gobiernos (Folleco y Sevilla, 2020). En este sentido, Grandinetti (2018) señala que las nuevas tendencias en gestión pública han surgido como innovaciones abruptas, derivadas de la necesidad de modernizar las instituciones estatales.</w:t>
      </w:r>
    </w:p>
    <w:p w14:paraId="000001E6"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En Colombia, la descentralización ha sido un factor clave en la transformación de la gestión pública, permitiendo a los municipios asumir mayores responsabilidades en la prestación de servicios. No obstante, la efectividad de estos cambios ha dependido en gran medida de la capacidad administrativa y financiera de cada territorio. Según Sánchez P. (2014), las certificaciones del Contralor General de la República y del DANE son fundamentales en la categorización de los municipios, ya que determinan su nivel de ingresos y gastos operativos.</w:t>
      </w:r>
    </w:p>
    <w:p w14:paraId="000001E7"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Si bien la descentralización ha generado beneficios como una mayor autonomía local, también ha presentado retos en términos de equidad territorial. En muchos casos, los municipios más pequeños han enfrentado dificultades para acceder a recursos suficientes, lo que ha limitado su capacidad de gestión y desarrollo (Duque, 2020).</w:t>
      </w:r>
    </w:p>
    <w:p w14:paraId="000001E8"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Finalmente, se reconoce que la categorización municipal y la descentralización han transformado el modelo de gestión pública en Colombia. Sin embargo, para garantizar una administración eficiente y equitativa, es necesario fortalecer los mecanismos de financiamiento y mejorar los criterios de clasificación territorial, asegurando que respondan a las necesidades reales de cada municipio.</w:t>
      </w:r>
    </w:p>
    <w:p w14:paraId="000001E9" w14:textId="77777777" w:rsidR="00663CDF" w:rsidRDefault="00F71B39">
      <w:pPr>
        <w:pStyle w:val="Ttulo2"/>
        <w:numPr>
          <w:ilvl w:val="1"/>
          <w:numId w:val="9"/>
        </w:numPr>
        <w:spacing w:line="360" w:lineRule="auto"/>
        <w:ind w:left="567" w:hanging="567"/>
      </w:pPr>
      <w:bookmarkStart w:id="26" w:name="_heading=h.sf7rivto2o6a" w:colFirst="0" w:colLast="0"/>
      <w:bookmarkEnd w:id="26"/>
      <w:r>
        <w:lastRenderedPageBreak/>
        <w:t>MARCO CONCEPTUAL</w:t>
      </w:r>
    </w:p>
    <w:p w14:paraId="000001EA" w14:textId="77777777" w:rsidR="00663CDF" w:rsidRDefault="00663CDF">
      <w:pPr>
        <w:pStyle w:val="Normal0"/>
        <w:spacing w:line="360" w:lineRule="auto"/>
      </w:pPr>
    </w:p>
    <w:p w14:paraId="000001EB"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t>Descentralización: Proceso de transferencia de competencias y recursos del nivel central a las entidades territoriales para mejorar la autonomía y eficiencia en la gestión pública (Banco Mundial, 2001). En el caso de Turbaco, esto ha significado mayores responsabilidades en la provisión de bienes y servicios sin necesariamente contar con una estructura fiscal suficientemente robusta.</w:t>
      </w:r>
    </w:p>
    <w:p w14:paraId="000001EC"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t>Categorización Municipal: Clasificación de los municipios basada en criterios económicos y poblacionales, regulada por la Ley 617 de 2000 y la Ley 1551 de 2012 (Gutiérrez, 2017). En Turbaco, su categorización ha influido en su capacidad de acceder a recursos y gestionar su autonomía fiscal.</w:t>
      </w:r>
    </w:p>
    <w:p w14:paraId="000001ED"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t>Ingresos Corrientes de Libre Destinación (ICLD): Recursos fiscales que los municipios pueden administrar sin restricciones del gobierno central, determinantes en su clasificación municipal (Duque, 2020). En Turbaco, estos ingresos han sido esenciales para financiar inversiones en infraestructura y programas sociales.</w:t>
      </w:r>
    </w:p>
    <w:p w14:paraId="000001EE"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t>Gestión Pública: Conjunto de acciones y procesos dirigidos a la administración eficiente de recursos y la ejecución de políticas públicas (Medina, 2008). En el municipio, la gestión pública ha estado orientada a optimizar el gasto público y mejorar la calidad de vida de sus habitantes.</w:t>
      </w:r>
    </w:p>
    <w:p w14:paraId="000001EF"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t>Autonomía Fiscal: Capacidad de los municipios para generar ingresos propios y reducir su dependencia de transferencias nacionales (Restrepo, 2015). En Turbaco, la autonomía fiscal ha sido limitada, lo que ha llevado a una alta dependencia de recursos externos.</w:t>
      </w:r>
    </w:p>
    <w:p w14:paraId="000001F0"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t>Bienes Públicos: Servicios esenciales que el Estado proporciona a la ciudadanía, como infraestructura, salud y educación (Delgado &amp; Acero, 2015). La categorización del municipio afecta directamente su capacidad para proveer bienes públicos.</w:t>
      </w:r>
    </w:p>
    <w:p w14:paraId="000001F1" w14:textId="77777777" w:rsidR="00663CDF" w:rsidRDefault="00F71B39">
      <w:pPr>
        <w:pStyle w:val="Normal0"/>
        <w:numPr>
          <w:ilvl w:val="0"/>
          <w:numId w:val="5"/>
        </w:numPr>
        <w:pBdr>
          <w:top w:val="nil"/>
          <w:left w:val="nil"/>
          <w:bottom w:val="nil"/>
          <w:right w:val="nil"/>
          <w:between w:val="nil"/>
        </w:pBdr>
        <w:spacing w:line="360" w:lineRule="auto"/>
        <w:rPr>
          <w:color w:val="000000"/>
        </w:rPr>
      </w:pPr>
      <w:r>
        <w:rPr>
          <w:color w:val="000000"/>
        </w:rPr>
        <w:lastRenderedPageBreak/>
        <w:t>Gobernanza Local: Sistema de interacciones entre autoridades locales, sociedad civil y sector privado para la gestión del territorio y la provisión de servicios (Borja, 1987). En Turbaco, la gobernanza local ha enfrentado desafíos por la falta de capacidad administrativa y fiscal.</w:t>
      </w:r>
    </w:p>
    <w:p w14:paraId="000001F2" w14:textId="77777777" w:rsidR="00663CDF" w:rsidRDefault="00F71B39">
      <w:pPr>
        <w:pStyle w:val="Normal0"/>
        <w:numPr>
          <w:ilvl w:val="0"/>
          <w:numId w:val="5"/>
        </w:numPr>
        <w:pBdr>
          <w:top w:val="nil"/>
          <w:left w:val="nil"/>
          <w:bottom w:val="nil"/>
          <w:right w:val="nil"/>
          <w:between w:val="nil"/>
        </w:pBdr>
        <w:spacing w:after="160" w:line="360" w:lineRule="auto"/>
        <w:rPr>
          <w:b/>
          <w:color w:val="000000"/>
        </w:rPr>
      </w:pPr>
      <w:r>
        <w:rPr>
          <w:color w:val="000000"/>
        </w:rPr>
        <w:t>Eficiencia Fiscal: Medida en la que los recursos públicos son utilizados de manera eficaz para generar beneficios para la ciudadanía (FMI, 2002). La eficiencia fiscal en Turbaco ha sido un factor clave en la gestión de su presupuesto.</w:t>
      </w:r>
      <w:r>
        <w:br w:type="page"/>
      </w:r>
    </w:p>
    <w:p w14:paraId="000001F3" w14:textId="77777777" w:rsidR="00663CDF" w:rsidRDefault="00F71B39">
      <w:pPr>
        <w:pStyle w:val="Ttulo2"/>
        <w:spacing w:line="360" w:lineRule="auto"/>
      </w:pPr>
      <w:bookmarkStart w:id="27" w:name="_heading=h.sci49356wnyd" w:colFirst="0" w:colLast="0"/>
      <w:bookmarkEnd w:id="27"/>
      <w:r>
        <w:lastRenderedPageBreak/>
        <w:t>CAPÍTULO 3. ANÁLISIS DE LA GESTIÓN PÚBLICA EN EL MUNICIPIO DE TURBACO (2016-2023)</w:t>
      </w:r>
    </w:p>
    <w:p w14:paraId="000001F4" w14:textId="77777777" w:rsidR="00663CDF" w:rsidRDefault="00663CDF">
      <w:pPr>
        <w:pStyle w:val="Normal0"/>
        <w:spacing w:line="360" w:lineRule="auto"/>
      </w:pPr>
    </w:p>
    <w:p w14:paraId="000001F5" w14:textId="77777777" w:rsidR="00663CDF" w:rsidRDefault="00F71B39">
      <w:pPr>
        <w:pStyle w:val="Ttulo3"/>
        <w:spacing w:line="360" w:lineRule="auto"/>
      </w:pPr>
      <w:bookmarkStart w:id="28" w:name="_heading=h.69xtmurgs0ge" w:colFirst="0" w:colLast="0"/>
      <w:bookmarkEnd w:id="28"/>
      <w:r>
        <w:t>3.1. GENERALIDADES</w:t>
      </w:r>
    </w:p>
    <w:p w14:paraId="000001F6" w14:textId="77777777" w:rsidR="00663CDF" w:rsidRDefault="00F71B39">
      <w:pPr>
        <w:pStyle w:val="Normal0"/>
        <w:spacing w:line="360" w:lineRule="auto"/>
      </w:pPr>
      <w:r>
        <w:t>Este capítulo examina la gestión pública del municipio de Turbaco en el marco de la descentralización y la categorización municipal durante el período 2016-2023; Se realiza un escrutinio basado en fuentes documentales como los Planes de Desarrollo Municipal (2016-2019 y 2020-2023), informes de cumplimiento del Plan de Desarrollo Territorial, datos del Departamento Nacional de Planeación (DNP) y bases de datos de Terridata, así como información primaria obtenida de entrevistas  aplicadas a habitantes y actores clave de la administración municipal.</w:t>
      </w:r>
    </w:p>
    <w:p w14:paraId="000001F7" w14:textId="77777777" w:rsidR="00663CDF" w:rsidRDefault="00663CDF">
      <w:pPr>
        <w:pStyle w:val="Normal0"/>
        <w:spacing w:line="360" w:lineRule="auto"/>
      </w:pPr>
    </w:p>
    <w:p w14:paraId="000001F8" w14:textId="77777777" w:rsidR="00663CDF" w:rsidRDefault="00F71B39">
      <w:pPr>
        <w:pStyle w:val="Normal0"/>
        <w:spacing w:line="360" w:lineRule="auto"/>
      </w:pPr>
      <w:r>
        <w:t xml:space="preserve">El propósito del capítulo es explorar los efectos de la descentralización y la categorización municipal en la provisión de bienes y servicios, el uso de los recursos públicos y la participación ciudadana en la administración local. La estructura del análisis se divide en varios apartados que abordan la eficiencia de la gestión fiscal, el cumplimiento de mandatos normativos, la percepción ciudadana sobre la calidad de vida y una comparación con municipios de categoría similar. </w:t>
      </w:r>
    </w:p>
    <w:p w14:paraId="000001F9" w14:textId="77777777" w:rsidR="00663CDF" w:rsidRDefault="00663CDF">
      <w:pPr>
        <w:pStyle w:val="Normal0"/>
        <w:spacing w:line="360" w:lineRule="auto"/>
      </w:pPr>
    </w:p>
    <w:p w14:paraId="000001FA" w14:textId="77777777" w:rsidR="00663CDF" w:rsidRDefault="00F71B39">
      <w:pPr>
        <w:pStyle w:val="Normal0"/>
        <w:spacing w:line="360" w:lineRule="auto"/>
        <w:rPr>
          <w:b/>
        </w:rPr>
      </w:pPr>
      <w:bookmarkStart w:id="29" w:name="_heading=h.g759yq3no8k7" w:colFirst="0" w:colLast="0"/>
      <w:bookmarkEnd w:id="29"/>
      <w:r>
        <w:rPr>
          <w:b/>
        </w:rPr>
        <w:t>3.2. APARTADOS DEL CAPÍTULO</w:t>
      </w:r>
    </w:p>
    <w:p w14:paraId="000001FB" w14:textId="77777777" w:rsidR="00663CDF" w:rsidRDefault="00F71B39">
      <w:pPr>
        <w:pStyle w:val="Ttulo4"/>
        <w:spacing w:line="360" w:lineRule="auto"/>
      </w:pPr>
      <w:r>
        <w:t xml:space="preserve"> 3.2.1. Análisis de la Gestión Pública en Turbaco</w:t>
      </w:r>
    </w:p>
    <w:p w14:paraId="000001FC"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La gestión pública en Turbaco durante el período 2016-2023 ha estado marcada por significativos avances, pero también por desafíos en términos de sostenibilidad fiscal, inversión en infraestructura y provisión de bienes y servicios esenciales. La categorización del municipio ha influido directamente en su capacidad administrativa y financiera, limitando la autonomía fiscal y condicionando el desarrollo territorial.</w:t>
      </w:r>
    </w:p>
    <w:p w14:paraId="000001FD"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lastRenderedPageBreak/>
        <w:t>Según los informes del Departamento Nacional de Planeación (DNP) y Terridata, el municipio ha mantenido un nivel de ejecución presupuestal oscilante, con un gasto de funcionamiento que ha variado entre 61% y 80% del total de ingresos corrientes de libre destinación (ICLD). Este indicador refleja una dependencia elevada de los ingresos tributarios y transferencias del gobierno central, lo que ha limitado la capacidad del municipio para invertir en proyectos de largo plazo.</w:t>
      </w:r>
    </w:p>
    <w:p w14:paraId="000001FE"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En términos de inversión pública, los datos analizados muestran que el municipio ha destinado una proporción significativa de su presupuesto a sectores estratégicos como educación, salud e infraestructura básica. Sin embargo, las entrevistas con funcionarios y actores clave (Entrevistas Maestría, 2024) revelan que la ejecución de estos recursos ha sido desigual, con demoras en la implementación de proyectos de infraestructura y deficiencias en la planeación urbana.</w:t>
      </w:r>
    </w:p>
    <w:p w14:paraId="000001FF"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Desde la perspectiva normativa, la Ley 617 de 2000 ha sido un factor determinante en la planificación presupuestal de Turbaco. Esta norma impone restricciones en el gasto de funcionamiento, estableciendo que no puede superar un porcentaje de los ingresos corrientes de libre destinación (ICLD). De acuerdo con los informes financieros del municipio, en 2021 el gasto de funcionamiento se redujo al 61%, lo que indica un ajuste fiscal para cumplir con la normativa y evitar sanciones por incumplimiento. Sin embargo, este cumplimiento ha tenido una incidencia en la capacidad de inversión, afectando la implementación de proyectos clave en sectores como infraestructura vial y saneamiento básico.</w:t>
      </w:r>
    </w:p>
    <w:p w14:paraId="00000200"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Además, la Ley 617 establece lineamientos para la categorización de los municipios con base en sus ingresos y población, lo que limita su autonomía y obligaciones. En el caso de Turbaco, la permanencia en la cuarta categoría ha implicado una dependencia continua de transferencias nacionales para financiar servicios esenciales. Esto ha generado desafíos en la sostenibilidad fiscal del municipio y en su capacidad para ejecutar proyectos de desarrollo de manera independiente.</w:t>
      </w:r>
    </w:p>
    <w:p w14:paraId="00000201"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lastRenderedPageBreak/>
        <w:t>En el marco del proceso de recategorización del municipio de Turbaco y atendiendo las exigencias normativas de la Ley 617 de 2000, la administración municipal emprendió una reestructuración de su organización interna, formalizada mediante el Decreto 196 del 29 de diciembre de 2016. Este acto administrativo reorganizó la estructura orgánica de la Alcaldía, estableciendo dependencias, niveles y funciones con base en criterios de eficiencia, control fiscal y racionalización del gasto. Según lo dispuesto en dicho decreto, el nuevo diseño institucional fue necesario para responder a los compromisos derivados del aumento poblacional, la ampliación de competencias territoriales y la necesidad de garantizar una administración moderna y funcional que se ajustara a la categoría fiscal vigente del municipio.</w:t>
      </w:r>
    </w:p>
    <w:p w14:paraId="00000202" w14:textId="77777777" w:rsidR="00663CDF" w:rsidRDefault="00F71B39">
      <w:pPr>
        <w:pStyle w:val="Normal0"/>
        <w:pBdr>
          <w:top w:val="nil"/>
          <w:left w:val="nil"/>
          <w:bottom w:val="nil"/>
          <w:right w:val="nil"/>
          <w:between w:val="nil"/>
        </w:pBdr>
        <w:spacing w:after="160"/>
        <w:rPr>
          <w:b/>
          <w:color w:val="000000"/>
        </w:rPr>
      </w:pPr>
      <w:bookmarkStart w:id="30" w:name="_heading=h.3s79qoovcjna" w:colFirst="0" w:colLast="0"/>
      <w:bookmarkEnd w:id="30"/>
      <w:r>
        <w:rPr>
          <w:b/>
          <w:color w:val="000000"/>
        </w:rPr>
        <w:t>Tabla 2. Cambios principales en la planta de personal – Decreto No. 0000432 (30 de diciembre de 2016)</w:t>
      </w:r>
    </w:p>
    <w:tbl>
      <w:tblPr>
        <w:tblStyle w:val="a0"/>
        <w:tblW w:w="781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818"/>
      </w:tblGrid>
      <w:tr w:rsidR="00663CDF" w14:paraId="51EBC646" w14:textId="77777777">
        <w:tc>
          <w:tcPr>
            <w:tcW w:w="7818" w:type="dxa"/>
          </w:tcPr>
          <w:p w14:paraId="00000203" w14:textId="77777777" w:rsidR="00663CDF" w:rsidRDefault="00F71B39">
            <w:pPr>
              <w:pStyle w:val="Normal0"/>
              <w:numPr>
                <w:ilvl w:val="0"/>
                <w:numId w:val="11"/>
              </w:numPr>
              <w:pBdr>
                <w:top w:val="nil"/>
                <w:left w:val="nil"/>
                <w:bottom w:val="nil"/>
                <w:right w:val="nil"/>
                <w:between w:val="nil"/>
              </w:pBdr>
              <w:spacing w:line="360" w:lineRule="auto"/>
              <w:jc w:val="left"/>
              <w:rPr>
                <w:color w:val="000000"/>
                <w:sz w:val="22"/>
                <w:szCs w:val="22"/>
              </w:rPr>
            </w:pPr>
            <w:r>
              <w:rPr>
                <w:b/>
                <w:color w:val="000000"/>
                <w:sz w:val="22"/>
                <w:szCs w:val="22"/>
              </w:rPr>
              <w:t>Se crean nuevos cargos en diferentes niveles jerárquicos:</w:t>
            </w:r>
          </w:p>
        </w:tc>
      </w:tr>
      <w:tr w:rsidR="00663CDF" w14:paraId="2316C24C" w14:textId="77777777">
        <w:tc>
          <w:tcPr>
            <w:tcW w:w="7818" w:type="dxa"/>
          </w:tcPr>
          <w:p w14:paraId="00000204" w14:textId="77777777" w:rsidR="00663CDF" w:rsidRDefault="00F71B39">
            <w:pPr>
              <w:pStyle w:val="Normal0"/>
              <w:numPr>
                <w:ilvl w:val="1"/>
                <w:numId w:val="11"/>
              </w:numPr>
              <w:pBdr>
                <w:top w:val="nil"/>
                <w:left w:val="nil"/>
                <w:bottom w:val="nil"/>
                <w:right w:val="nil"/>
                <w:between w:val="nil"/>
              </w:pBdr>
              <w:spacing w:line="360" w:lineRule="auto"/>
              <w:jc w:val="left"/>
              <w:rPr>
                <w:color w:val="000000"/>
                <w:sz w:val="22"/>
                <w:szCs w:val="22"/>
              </w:rPr>
            </w:pPr>
            <w:r>
              <w:rPr>
                <w:b/>
                <w:color w:val="000000"/>
                <w:sz w:val="22"/>
                <w:szCs w:val="22"/>
              </w:rPr>
              <w:t>Nivel Directivo:</w:t>
            </w:r>
          </w:p>
        </w:tc>
      </w:tr>
      <w:tr w:rsidR="00663CDF" w14:paraId="31BBFFDC" w14:textId="77777777">
        <w:tc>
          <w:tcPr>
            <w:tcW w:w="7818" w:type="dxa"/>
          </w:tcPr>
          <w:p w14:paraId="00000205"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Secretario de Despacho (1 cargo)</w:t>
            </w:r>
          </w:p>
        </w:tc>
      </w:tr>
      <w:tr w:rsidR="00663CDF" w14:paraId="293FFD59" w14:textId="77777777">
        <w:tc>
          <w:tcPr>
            <w:tcW w:w="7818" w:type="dxa"/>
          </w:tcPr>
          <w:p w14:paraId="00000206"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Jefe de Oficina (2 cargos)</w:t>
            </w:r>
          </w:p>
        </w:tc>
      </w:tr>
      <w:tr w:rsidR="00663CDF" w14:paraId="78F0F6AC" w14:textId="77777777">
        <w:tc>
          <w:tcPr>
            <w:tcW w:w="7818" w:type="dxa"/>
          </w:tcPr>
          <w:p w14:paraId="00000207" w14:textId="77777777" w:rsidR="00663CDF" w:rsidRDefault="00F71B39">
            <w:pPr>
              <w:pStyle w:val="Normal0"/>
              <w:numPr>
                <w:ilvl w:val="1"/>
                <w:numId w:val="11"/>
              </w:numPr>
              <w:pBdr>
                <w:top w:val="nil"/>
                <w:left w:val="nil"/>
                <w:bottom w:val="nil"/>
                <w:right w:val="nil"/>
                <w:between w:val="nil"/>
              </w:pBdr>
              <w:spacing w:line="360" w:lineRule="auto"/>
              <w:jc w:val="left"/>
              <w:rPr>
                <w:color w:val="000000"/>
                <w:sz w:val="22"/>
                <w:szCs w:val="22"/>
              </w:rPr>
            </w:pPr>
            <w:r>
              <w:rPr>
                <w:b/>
                <w:color w:val="000000"/>
                <w:sz w:val="22"/>
                <w:szCs w:val="22"/>
              </w:rPr>
              <w:t>Nivel Asesor:</w:t>
            </w:r>
          </w:p>
        </w:tc>
      </w:tr>
      <w:tr w:rsidR="00663CDF" w14:paraId="79133284" w14:textId="77777777">
        <w:tc>
          <w:tcPr>
            <w:tcW w:w="7818" w:type="dxa"/>
          </w:tcPr>
          <w:p w14:paraId="00000208"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Profesional Universitario Asesor Jurídico (1 cargo)</w:t>
            </w:r>
          </w:p>
        </w:tc>
      </w:tr>
      <w:tr w:rsidR="00663CDF" w14:paraId="64F54BAC" w14:textId="77777777">
        <w:tc>
          <w:tcPr>
            <w:tcW w:w="7818" w:type="dxa"/>
          </w:tcPr>
          <w:p w14:paraId="00000209" w14:textId="77777777" w:rsidR="00663CDF" w:rsidRDefault="00F71B39">
            <w:pPr>
              <w:pStyle w:val="Normal0"/>
              <w:numPr>
                <w:ilvl w:val="1"/>
                <w:numId w:val="11"/>
              </w:numPr>
              <w:pBdr>
                <w:top w:val="nil"/>
                <w:left w:val="nil"/>
                <w:bottom w:val="nil"/>
                <w:right w:val="nil"/>
                <w:between w:val="nil"/>
              </w:pBdr>
              <w:spacing w:line="360" w:lineRule="auto"/>
              <w:jc w:val="left"/>
              <w:rPr>
                <w:color w:val="000000"/>
                <w:sz w:val="22"/>
                <w:szCs w:val="22"/>
              </w:rPr>
            </w:pPr>
            <w:r>
              <w:rPr>
                <w:b/>
                <w:color w:val="000000"/>
                <w:sz w:val="22"/>
                <w:szCs w:val="22"/>
              </w:rPr>
              <w:t>Nivel Profesional:</w:t>
            </w:r>
          </w:p>
        </w:tc>
      </w:tr>
      <w:tr w:rsidR="00663CDF" w14:paraId="5B5BA357" w14:textId="77777777">
        <w:tc>
          <w:tcPr>
            <w:tcW w:w="7818" w:type="dxa"/>
          </w:tcPr>
          <w:p w14:paraId="0000020A"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Profesional Universitario (1 cargo)</w:t>
            </w:r>
          </w:p>
        </w:tc>
      </w:tr>
      <w:tr w:rsidR="00663CDF" w14:paraId="55CEEDD8" w14:textId="77777777">
        <w:tc>
          <w:tcPr>
            <w:tcW w:w="7818" w:type="dxa"/>
          </w:tcPr>
          <w:p w14:paraId="0000020B"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Profesional Universitario Pensiones (1 cargo)</w:t>
            </w:r>
          </w:p>
        </w:tc>
      </w:tr>
      <w:tr w:rsidR="00663CDF" w14:paraId="22E081C6" w14:textId="77777777">
        <w:tc>
          <w:tcPr>
            <w:tcW w:w="7818" w:type="dxa"/>
          </w:tcPr>
          <w:p w14:paraId="0000020C" w14:textId="77777777" w:rsidR="00663CDF" w:rsidRDefault="00F71B39">
            <w:pPr>
              <w:pStyle w:val="Normal0"/>
              <w:numPr>
                <w:ilvl w:val="1"/>
                <w:numId w:val="11"/>
              </w:numPr>
              <w:pBdr>
                <w:top w:val="nil"/>
                <w:left w:val="nil"/>
                <w:bottom w:val="nil"/>
                <w:right w:val="nil"/>
                <w:between w:val="nil"/>
              </w:pBdr>
              <w:spacing w:line="360" w:lineRule="auto"/>
              <w:jc w:val="left"/>
              <w:rPr>
                <w:color w:val="000000"/>
                <w:sz w:val="22"/>
                <w:szCs w:val="22"/>
              </w:rPr>
            </w:pPr>
            <w:r>
              <w:rPr>
                <w:b/>
                <w:color w:val="000000"/>
                <w:sz w:val="22"/>
                <w:szCs w:val="22"/>
              </w:rPr>
              <w:t>Nivel Técnico:</w:t>
            </w:r>
          </w:p>
        </w:tc>
      </w:tr>
      <w:tr w:rsidR="00663CDF" w14:paraId="0F4A0A57" w14:textId="77777777">
        <w:tc>
          <w:tcPr>
            <w:tcW w:w="7818" w:type="dxa"/>
          </w:tcPr>
          <w:p w14:paraId="0000020D"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Inspector de Policía Rural (2 cargos)</w:t>
            </w:r>
          </w:p>
        </w:tc>
      </w:tr>
      <w:tr w:rsidR="00663CDF" w14:paraId="4B53D498" w14:textId="77777777">
        <w:tc>
          <w:tcPr>
            <w:tcW w:w="7818" w:type="dxa"/>
          </w:tcPr>
          <w:p w14:paraId="0000020E"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Técnico Administrativo (3 cargos)</w:t>
            </w:r>
          </w:p>
        </w:tc>
      </w:tr>
      <w:tr w:rsidR="00663CDF" w14:paraId="1010B096" w14:textId="77777777">
        <w:tc>
          <w:tcPr>
            <w:tcW w:w="7818" w:type="dxa"/>
          </w:tcPr>
          <w:p w14:paraId="0000020F"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Técnico Operativo (3 cargos)</w:t>
            </w:r>
          </w:p>
        </w:tc>
      </w:tr>
      <w:tr w:rsidR="00663CDF" w14:paraId="7A84FAA0" w14:textId="77777777">
        <w:tc>
          <w:tcPr>
            <w:tcW w:w="7818" w:type="dxa"/>
          </w:tcPr>
          <w:p w14:paraId="00000210"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Técnico de Tránsito y Transporte (2 cargos)</w:t>
            </w:r>
          </w:p>
        </w:tc>
      </w:tr>
      <w:tr w:rsidR="00663CDF" w14:paraId="2BD6BDEA" w14:textId="77777777">
        <w:tc>
          <w:tcPr>
            <w:tcW w:w="7818" w:type="dxa"/>
          </w:tcPr>
          <w:p w14:paraId="00000211" w14:textId="77777777" w:rsidR="00663CDF" w:rsidRDefault="00F71B39">
            <w:pPr>
              <w:pStyle w:val="Normal0"/>
              <w:numPr>
                <w:ilvl w:val="1"/>
                <w:numId w:val="11"/>
              </w:numPr>
              <w:pBdr>
                <w:top w:val="nil"/>
                <w:left w:val="nil"/>
                <w:bottom w:val="nil"/>
                <w:right w:val="nil"/>
                <w:between w:val="nil"/>
              </w:pBdr>
              <w:spacing w:line="360" w:lineRule="auto"/>
              <w:jc w:val="left"/>
              <w:rPr>
                <w:color w:val="000000"/>
                <w:sz w:val="22"/>
                <w:szCs w:val="22"/>
              </w:rPr>
            </w:pPr>
            <w:r>
              <w:rPr>
                <w:b/>
                <w:color w:val="000000"/>
                <w:sz w:val="22"/>
                <w:szCs w:val="22"/>
              </w:rPr>
              <w:t>Nivel Asistencial:</w:t>
            </w:r>
          </w:p>
        </w:tc>
      </w:tr>
      <w:tr w:rsidR="00663CDF" w14:paraId="18BAF900" w14:textId="77777777">
        <w:tc>
          <w:tcPr>
            <w:tcW w:w="7818" w:type="dxa"/>
          </w:tcPr>
          <w:p w14:paraId="00000212"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Agente de Tránsito (2 cargos)</w:t>
            </w:r>
          </w:p>
        </w:tc>
      </w:tr>
      <w:tr w:rsidR="00663CDF" w14:paraId="3699CB44" w14:textId="77777777">
        <w:tc>
          <w:tcPr>
            <w:tcW w:w="7818" w:type="dxa"/>
          </w:tcPr>
          <w:p w14:paraId="00000213"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Auxiliar Administrativo (3 cargos)</w:t>
            </w:r>
          </w:p>
        </w:tc>
      </w:tr>
      <w:tr w:rsidR="00663CDF" w14:paraId="31346DB7" w14:textId="77777777">
        <w:tc>
          <w:tcPr>
            <w:tcW w:w="7818" w:type="dxa"/>
          </w:tcPr>
          <w:p w14:paraId="00000214"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 xml:space="preserve">Auxiliar Administrativo (Despacho del </w:t>
            </w:r>
            <w:proofErr w:type="gramStart"/>
            <w:r>
              <w:rPr>
                <w:color w:val="000000"/>
                <w:sz w:val="22"/>
                <w:szCs w:val="22"/>
              </w:rPr>
              <w:t>Alcalde</w:t>
            </w:r>
            <w:proofErr w:type="gramEnd"/>
            <w:r>
              <w:rPr>
                <w:color w:val="000000"/>
                <w:sz w:val="22"/>
                <w:szCs w:val="22"/>
              </w:rPr>
              <w:t>) (1 cargo)</w:t>
            </w:r>
          </w:p>
        </w:tc>
      </w:tr>
      <w:tr w:rsidR="00663CDF" w14:paraId="62B75C73" w14:textId="77777777">
        <w:tc>
          <w:tcPr>
            <w:tcW w:w="7818" w:type="dxa"/>
          </w:tcPr>
          <w:p w14:paraId="00000215"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lastRenderedPageBreak/>
              <w:t>Auxiliar de Archivo (1 cargo)</w:t>
            </w:r>
          </w:p>
        </w:tc>
      </w:tr>
      <w:tr w:rsidR="00663CDF" w14:paraId="2374317D" w14:textId="77777777">
        <w:tc>
          <w:tcPr>
            <w:tcW w:w="7818" w:type="dxa"/>
          </w:tcPr>
          <w:p w14:paraId="00000216"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Secretaria Ejecutiva (1 cargo)</w:t>
            </w:r>
          </w:p>
        </w:tc>
      </w:tr>
      <w:tr w:rsidR="00663CDF" w14:paraId="41CA2802" w14:textId="77777777">
        <w:tc>
          <w:tcPr>
            <w:tcW w:w="7818" w:type="dxa"/>
          </w:tcPr>
          <w:p w14:paraId="00000217"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Inspector (1 cargo)</w:t>
            </w:r>
          </w:p>
        </w:tc>
      </w:tr>
      <w:tr w:rsidR="00663CDF" w14:paraId="7B19352A" w14:textId="77777777">
        <w:tc>
          <w:tcPr>
            <w:tcW w:w="7818" w:type="dxa"/>
          </w:tcPr>
          <w:p w14:paraId="00000218"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Inspector (2 cargos adicionales, total de 3)</w:t>
            </w:r>
          </w:p>
        </w:tc>
      </w:tr>
      <w:tr w:rsidR="00663CDF" w14:paraId="349F79AE" w14:textId="77777777">
        <w:tc>
          <w:tcPr>
            <w:tcW w:w="7818" w:type="dxa"/>
          </w:tcPr>
          <w:p w14:paraId="00000219"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Auxiliar de Servicio General (5 cargos)</w:t>
            </w:r>
          </w:p>
        </w:tc>
      </w:tr>
      <w:tr w:rsidR="00663CDF" w14:paraId="5A48CE86" w14:textId="77777777">
        <w:tc>
          <w:tcPr>
            <w:tcW w:w="7818" w:type="dxa"/>
          </w:tcPr>
          <w:p w14:paraId="0000021A" w14:textId="77777777" w:rsidR="00663CDF" w:rsidRDefault="00F71B39">
            <w:pPr>
              <w:pStyle w:val="Normal0"/>
              <w:numPr>
                <w:ilvl w:val="2"/>
                <w:numId w:val="11"/>
              </w:numPr>
              <w:pBdr>
                <w:top w:val="nil"/>
                <w:left w:val="nil"/>
                <w:bottom w:val="nil"/>
                <w:right w:val="nil"/>
                <w:between w:val="nil"/>
              </w:pBdr>
              <w:spacing w:line="360" w:lineRule="auto"/>
              <w:jc w:val="left"/>
              <w:rPr>
                <w:color w:val="000000"/>
                <w:sz w:val="22"/>
                <w:szCs w:val="22"/>
              </w:rPr>
            </w:pPr>
            <w:r>
              <w:rPr>
                <w:color w:val="000000"/>
                <w:sz w:val="22"/>
                <w:szCs w:val="22"/>
              </w:rPr>
              <w:t>Celador (2 cargos)</w:t>
            </w:r>
          </w:p>
        </w:tc>
      </w:tr>
    </w:tbl>
    <w:p w14:paraId="0000021B"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Como complemento a la reforma estructural, el municipio expidió el Decreto 0312 del 30 de diciembre de 2016, mediante el cual se corrigieron errores del Decreto 0008 de julio del mismo año y se estableció la planta de personal de la administración central. Esta medida permitió la creación de nuevos cargos y la reorganización de perfiles funcionales, ajustando los niveles directivos, asesores, profesionales y técnicos a las nuevas exigencias administrativas. Se integraron cargos estratégicos como el Profesional Universitario en Pensiones, Inspectores de Tránsito, Técnicos Operativos, entre otros, con el objetivo de fortalecer áreas clave como la movilidad, la gestión documental, los servicios administrativos y la capacidad de respuesta institucional. Esta reorganización fue diseñada para no incrementar el gasto más allá de los límites establecidos por la normativa, pero sí para redistribuir el recurso humano de forma más eficaz y coherente con los retos de una administración descentralizada.</w:t>
      </w:r>
    </w:p>
    <w:p w14:paraId="0000021C"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 xml:space="preserve">Estos cambios en la estructura organizacional y la planta de personal no solo obedecieron a una obligación normativa, sino también a una necesidad real de modernizar la gestión pública local frente a los desafíos del desarrollo territorial. La categorización del municipio impone límites fiscales que restringen la autonomía presupuestal y operativa, por lo que reorganizar la administración interna fue un paso indispensable para mejorar la eficiencia del gasto, cumplir con los planes de desarrollo y garantizar la sostenibilidad de los servicios públicos. No obstante, entrevistas realizadas con funcionarios advierten que la implementación de estos cambios encontró obstáculos prácticos como: la rotación constante de personal, la ausencia de procesos de inducción, procesos de capacitación (tecnologías y </w:t>
      </w:r>
      <w:r>
        <w:rPr>
          <w:color w:val="000000"/>
        </w:rPr>
        <w:lastRenderedPageBreak/>
        <w:t>sistemas de información) y la discontinuidad en las políticas públicas, lo cual ha limitado parcialmente los efectos esperados de la reestructuración.</w:t>
      </w:r>
    </w:p>
    <w:p w14:paraId="0000021D"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Otro aspecto relevante en la gestión pública de Turbaco es la eficiencia en la recaudación de tributos locales. El análisis comparativo del Impuesto de Industria y Comercio (ICA) y el Impuesto Predial Unificado (IPU) durante el periodo 2016–2023 muestra un crecimiento sostenido en los ingresos fiscales. En el caso del ICA, se pasó de recaudar aproximadamente $5.257 millones en 2016 a $17.868 millones en 2023, lo que representa un incremento del 239,8 %. Por su parte, el IPU aumentó de $2.447 millones a $12.453 millones, lo que equivale a un incremento del 408,8 %. Este crecimiento en la base tributaria puede asociarse, en parte, al proceso de recategorización del municipio, el cual permitió ajustar las tarifas conforme a lo establecido por la Ley 617 de 2000, mejorando la capacidad de gestión fiscal local. (Análisis ICA 2016-2023).</w:t>
      </w:r>
    </w:p>
    <w:p w14:paraId="0000021E"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 xml:space="preserve">Sin embargo, a pesar de estos avances en materia de ingresos, su incidencia en la mejora de la infraestructura y los servicios públicos ha sido limitada. Esto se evidencia en los informes de ejecución presupuestal del municipio de Turbaco, donde el gasto de funcionamiento ha superado en varios años el 85 % del total del presupuesto, mientras que el gasto de inversión, especialmente en sectores como infraestructura y servicios básicos, ha permanecido restringido. Además, los costos de operación administrativa se incrementaron significativamente tras la recategorización, debido al aumento de la planta de personal formalizada mediante el Decreto 0432 de 2016. </w:t>
      </w:r>
    </w:p>
    <w:p w14:paraId="0000021F" w14:textId="77777777" w:rsidR="00663CDF" w:rsidRDefault="00F71B39">
      <w:pPr>
        <w:pStyle w:val="Normal0"/>
        <w:pBdr>
          <w:top w:val="nil"/>
          <w:left w:val="nil"/>
          <w:bottom w:val="nil"/>
          <w:right w:val="nil"/>
          <w:between w:val="nil"/>
        </w:pBdr>
        <w:spacing w:before="280" w:after="280" w:line="360" w:lineRule="auto"/>
        <w:rPr>
          <w:color w:val="000000"/>
        </w:rPr>
      </w:pPr>
      <w:r>
        <w:rPr>
          <w:color w:val="000000"/>
        </w:rPr>
        <w:t xml:space="preserve">Finalmente, la carencia de una planificación estratégica de largo plazo y la alta rotación de personal en la administración municipal han afectado la continuidad de las políticas y programas. Es decir, transcurridos casi tres décadas desde la implementación de la ley orgánica sobre el plan de desarrollo (Ley 152/1994) y ordenamiento territorial (Ley 388/1997), Turbaco no han logrado construir un sistema de planeación territorial como soporte para la gestión pública. Luego </w:t>
      </w:r>
      <w:r>
        <w:rPr>
          <w:color w:val="000000"/>
        </w:rPr>
        <w:lastRenderedPageBreak/>
        <w:t xml:space="preserve">entonces, la gestión de proyectos está sujeta en gran medida de la capacidad del municipio para acceder a cofinanciación nacional y departamental, lo que ha creado una dependencia estructural que restringe la autonomía del gobierno local. </w:t>
      </w:r>
    </w:p>
    <w:p w14:paraId="00000220" w14:textId="77777777" w:rsidR="00663CDF" w:rsidRDefault="00F71B39">
      <w:pPr>
        <w:pStyle w:val="Ttulo4"/>
      </w:pPr>
      <w:r>
        <w:t xml:space="preserve"> 3.2.2. Evaluación del Cumplimiento de Mandatos Constitucionales y Normativos. </w:t>
      </w:r>
    </w:p>
    <w:p w14:paraId="00000221" w14:textId="77777777" w:rsidR="00663CDF" w:rsidRDefault="00663CDF">
      <w:pPr>
        <w:pStyle w:val="Normal0"/>
        <w:spacing w:line="360" w:lineRule="auto"/>
      </w:pPr>
    </w:p>
    <w:p w14:paraId="00000222" w14:textId="77777777" w:rsidR="00663CDF" w:rsidRDefault="00F71B39">
      <w:pPr>
        <w:pStyle w:val="Normal0"/>
        <w:spacing w:line="360" w:lineRule="auto"/>
      </w:pPr>
      <w:r>
        <w:t>La gestión de los recursos públicos en Turbaco está sujeta a las disposiciones constitucionales y normativas establecidas en la Ley 617 de 2000 y la Constitución Política de Colombia de 1991. Esta legislación impone restricciones al gasto público con el fin de garantizar la sostenibilidad fiscal y mejorar la eficiencia en la distribución de recursos. En este sentido, el examen del cumplimiento de estos mandatos en el municipio de Turbaco permite valorar el nivel de articulación de la administración local con los principios de responsabilidad fiscal y equidad territorial. De allí que en concordancia con el Informe de Empalme 2023-2024, Turbaco ha continuado una ejecución presupuestal ajustada a los límites establecidos por la Ley 617, con un porcentaje de gasto de funcionamiento sobre los ingresos corrientes de libre destinación (ICLD) que ha oscilado entre el 61% y el 80%. Aunque esto sugiere un cumplimiento normativo, la realidad indica que esta restricción ha generado limitaciones en la capacidad de inversión, particularmente en proyectos de infraestructura vial y saneamiento básico (Collazos &amp; Romero, 2005).</w:t>
      </w:r>
    </w:p>
    <w:p w14:paraId="00000223" w14:textId="77777777" w:rsidR="00663CDF" w:rsidRDefault="00663CDF">
      <w:pPr>
        <w:pStyle w:val="Normal0"/>
        <w:spacing w:line="360" w:lineRule="auto"/>
      </w:pPr>
    </w:p>
    <w:p w14:paraId="00000224" w14:textId="77777777" w:rsidR="00663CDF" w:rsidRDefault="00F71B39">
      <w:pPr>
        <w:pStyle w:val="Normal0"/>
        <w:spacing w:line="360" w:lineRule="auto"/>
      </w:pPr>
      <w:r>
        <w:t xml:space="preserve">Las entrevistas realizadas con actores claves de la administración municipal revelan que la dependencia de transferencias nacionales ha limitado la gestión local, afectando la planificación de largo plazo (Entrevistas Maestría, 2024). Esta situación se enmarca en lo señalado por Boadway (2001), quien destaca que la descentralización fiscal suele derivar en un déficit fiscal vertical cuando las competencias de gasto no están asociadas con la capacidad de generación de ingresos propios. </w:t>
      </w:r>
    </w:p>
    <w:p w14:paraId="00000225" w14:textId="77777777" w:rsidR="00663CDF" w:rsidRDefault="00663CDF">
      <w:pPr>
        <w:pStyle w:val="Normal0"/>
        <w:spacing w:line="360" w:lineRule="auto"/>
      </w:pPr>
    </w:p>
    <w:p w14:paraId="00000226" w14:textId="77777777" w:rsidR="00663CDF" w:rsidRDefault="00F71B39">
      <w:pPr>
        <w:pStyle w:val="Normal0"/>
        <w:spacing w:line="360" w:lineRule="auto"/>
      </w:pPr>
      <w:r>
        <w:lastRenderedPageBreak/>
        <w:t xml:space="preserve">En términos de inversión en bienes y servicios públicos, el municipio ha destinado recursos a sectores prioritarios como salud, educación y vivienda, pero las restricciones fiscales han generado problemas de subejecución en varios programas. Según el Informe de Cumplimiento del PDT 2016, se identificaron deficiencias en la capacidad operativa para gestionar proyectos de gran envergadura, lo que ha resultado en demoras en la ejecución de planes de mejoramiento urbano y social. Adicionalmente, Centrágolo y Goldschmit (2013) sostienen que la descentralización puede derivar en tensiones fiscales cuando los municipios no cuentan con mecanismos de estabilización macroeconómica que les permitan enfrentar crisis financieras sin estar sujeto a las transferencias nacionales. </w:t>
      </w:r>
    </w:p>
    <w:p w14:paraId="00000227" w14:textId="77777777" w:rsidR="00663CDF" w:rsidRDefault="00663CDF">
      <w:pPr>
        <w:pStyle w:val="Normal0"/>
        <w:spacing w:line="360" w:lineRule="auto"/>
      </w:pPr>
    </w:p>
    <w:p w14:paraId="00000228" w14:textId="77777777" w:rsidR="00663CDF" w:rsidRDefault="00F71B39">
      <w:pPr>
        <w:pStyle w:val="Normal0"/>
        <w:spacing w:line="360" w:lineRule="auto"/>
      </w:pPr>
      <w:r>
        <w:t>La normativa vigente también ha intervenido en la planeación estratégica municipal, ya que de acuerdo con la Ley 617 de 2000, los municipios categorizados deben cumplir con límites estrictos en su gasto de funcionamiento, afectando su capacidad para financiar proyectos de desarrollo sin comprometer la estabilidad fiscal (Congreso de Colombia, 2000). En Turbaco, esta situación ha llevado a ajustes presupuestales los cuales han permitido el cumplimiento normativo, pero a un costo de limitar la inversión en sectores clave como infraestructura vial y saneamiento básico (Informe de Cumplimiento del PDT 2016). A modo de contraste, desde un enfoque teórico, Rosen (2002) argumenta que un sistema descentralizado puede favorecer la eficiencia en la asignación de recursos si admite que los gobiernos locales respondan mejor a las necesidades de su población. No obstante, en el caso de Turbaco, la frágil autonomía fiscal y la dependencia de recursos externos han creado obstáculos para el desarrollo de iniciativas locales sin la intermediación del gobierno central.</w:t>
      </w:r>
    </w:p>
    <w:p w14:paraId="00000229" w14:textId="77777777" w:rsidR="00663CDF" w:rsidRDefault="00663CDF">
      <w:pPr>
        <w:pStyle w:val="Normal0"/>
        <w:spacing w:line="360" w:lineRule="auto"/>
      </w:pPr>
    </w:p>
    <w:p w14:paraId="0000022A" w14:textId="77777777" w:rsidR="00663CDF" w:rsidRDefault="00F71B39">
      <w:pPr>
        <w:pStyle w:val="Normal0"/>
        <w:spacing w:line="360" w:lineRule="auto"/>
      </w:pPr>
      <w:r>
        <w:t xml:space="preserve">Finalmente, la ausencia de una estrategia integral para fortalecimiento de la gestión institucional y capacidades administrativas ha dificultado la aplicación efectiva de los mandatos constitucionales. La descentralización ha otorgado cierta autonomía en la gestión de los recursos, pero sin un robustecimiento adecuado en la </w:t>
      </w:r>
      <w:r>
        <w:lastRenderedPageBreak/>
        <w:t>administración municipal, su incidencia en el desarrollo territorial ha sido delimitado (Rodríguez Samacá, 2023). Esta situación resalta la necesidad de adoptar acciones y procesos para mejorar la eficiencia en la gestión pública y reducir la subordinación de transferencias externas para garantizar la sostenibilidad fiscal y administrativa del municipio.</w:t>
      </w:r>
    </w:p>
    <w:p w14:paraId="0000022B" w14:textId="77777777" w:rsidR="00663CDF" w:rsidRDefault="00663CDF">
      <w:pPr>
        <w:pStyle w:val="Normal0"/>
        <w:spacing w:line="360" w:lineRule="auto"/>
      </w:pPr>
    </w:p>
    <w:p w14:paraId="0000022C" w14:textId="77777777" w:rsidR="00663CDF" w:rsidRDefault="00F71B39">
      <w:pPr>
        <w:pStyle w:val="Ttulo4"/>
      </w:pPr>
      <w:r>
        <w:t xml:space="preserve"> 3.2.3. Análisis de Fuentes y Percepción Ciudadana</w:t>
      </w:r>
    </w:p>
    <w:p w14:paraId="0000022D" w14:textId="77777777" w:rsidR="00663CDF" w:rsidRDefault="00F71B39">
      <w:pPr>
        <w:pStyle w:val="Normal0"/>
        <w:spacing w:line="360" w:lineRule="auto"/>
      </w:pPr>
      <w:r>
        <w:t xml:space="preserve">La percepción ciudadana sobre la gestión pública en Turbaco es un elemento clave para establecer la incidencia de las políticas implementadas en su jurisdicción. Para ello, se estudiaron los resultados de la Entrevistas con actores claves como exfuncionarios. </w:t>
      </w:r>
    </w:p>
    <w:p w14:paraId="0000022E" w14:textId="77777777" w:rsidR="00663CDF" w:rsidRDefault="00F71B39">
      <w:pPr>
        <w:pStyle w:val="Normal0"/>
        <w:spacing w:line="360" w:lineRule="auto"/>
      </w:pPr>
      <w:r>
        <w:t xml:space="preserve">Los hallazgos revelan que, si bien la comunidad reconoce avances en sectores como salud y educación, subsisten preocupaciones recurrentes sobre la infraestructura vial, la provisión de agua potable y la seguridad ciudadana. El 67% de los entrevistados expresó su insatisfacción con el estado de las vías terciarias, mientras que el 58%o manifestó severos problemas de acceso al agua potable en algunos sectores del municipio (Entrevistas Maestría, 2024). </w:t>
      </w:r>
    </w:p>
    <w:p w14:paraId="0000022F" w14:textId="77777777" w:rsidR="00663CDF" w:rsidRDefault="00663CDF">
      <w:pPr>
        <w:pStyle w:val="Normal0"/>
        <w:spacing w:line="360" w:lineRule="auto"/>
      </w:pPr>
    </w:p>
    <w:p w14:paraId="00000230" w14:textId="77777777" w:rsidR="00663CDF" w:rsidRDefault="00F71B39">
      <w:pPr>
        <w:pStyle w:val="Normal0"/>
        <w:spacing w:line="360" w:lineRule="auto"/>
      </w:pPr>
      <w:r>
        <w:t xml:space="preserve">En el ámbito de salud, los datos muestran que el 45% de los ciudadanos entrevistados considera que la cobertura ha mejorado en los últimos cinco años, esencialmente debido a la apertura de nuevos centros de salud y la ampliación de programas de vacunación durante la pandemia de COVID-19. Sin embargo, las entrevistas con habitantes del municipio sugieren que continúan limitantes para la disponibilidad de insumos médicos y en los tiempos de atención en los centros de salud (Entrevistas Maestría, 2024). </w:t>
      </w:r>
    </w:p>
    <w:p w14:paraId="00000231" w14:textId="77777777" w:rsidR="00663CDF" w:rsidRDefault="00663CDF">
      <w:pPr>
        <w:pStyle w:val="Normal0"/>
        <w:spacing w:line="360" w:lineRule="auto"/>
      </w:pPr>
    </w:p>
    <w:p w14:paraId="00000232" w14:textId="77777777" w:rsidR="00663CDF" w:rsidRDefault="00F71B39">
      <w:pPr>
        <w:pStyle w:val="Normal0"/>
        <w:spacing w:line="360" w:lineRule="auto"/>
      </w:pPr>
      <w:r>
        <w:t xml:space="preserve">La seguridad es otro de los temas más debatidos en la percepción ciudadana. Aunque las estadísticas oficiales indican una reducción en la tasa de delitos menores, los testimonios recopilados en las entrevistas reflejan una percepción de inseguridad creciente, especialmente en las zonas periféricas del municipio. La baja </w:t>
      </w:r>
      <w:r>
        <w:lastRenderedPageBreak/>
        <w:t>presencia policial y la ausencia de estrategias efectivas de prevención del delito han sido señaladas como principales preocupaciones por parte de los habitantes de Turbaco.</w:t>
      </w:r>
    </w:p>
    <w:p w14:paraId="00000233" w14:textId="77777777" w:rsidR="00663CDF" w:rsidRDefault="00663CDF">
      <w:pPr>
        <w:pStyle w:val="Normal0"/>
        <w:spacing w:line="360" w:lineRule="auto"/>
      </w:pPr>
    </w:p>
    <w:p w14:paraId="00000234" w14:textId="77777777" w:rsidR="00663CDF" w:rsidRDefault="00F71B39">
      <w:pPr>
        <w:pStyle w:val="Normal0"/>
        <w:spacing w:line="360" w:lineRule="auto"/>
      </w:pPr>
      <w:r>
        <w:t>Además, la participación ciudadana en la toma de decisiones sigue siendo un reto, en donde los datos revisados expresan que solo el 32% de los entrevistados ha participado activamente en procesos de consulta pública o audiencias comunitarias, lo que evidencia una reducida interacción entre la administración municipal y la población en términos de gobernanza local.</w:t>
      </w:r>
    </w:p>
    <w:p w14:paraId="00000235" w14:textId="77777777" w:rsidR="00663CDF" w:rsidRDefault="00663CDF">
      <w:pPr>
        <w:pStyle w:val="Normal0"/>
        <w:spacing w:line="360" w:lineRule="auto"/>
      </w:pPr>
    </w:p>
    <w:p w14:paraId="00000236" w14:textId="77777777" w:rsidR="00663CDF" w:rsidRDefault="00F71B39">
      <w:pPr>
        <w:pStyle w:val="Normal0"/>
        <w:spacing w:line="360" w:lineRule="auto"/>
      </w:pPr>
      <w:r>
        <w:t xml:space="preserve">Resumiendo, la percepción ciudadana refleja una realidad mixta: si bien hay avances en ciertos sectores, persisten deficiencias estructurales que perturban la calidad de vida de los habitantes de Turbaco. Por ejemplo, entre 2016 y 2023, la cobertura en educación pasó del 59,2% al 61,4%, mientras que en salud mejoró levemente del 36,5% al 53,4%, de acuerdo con datos del Sistema de Información Planeación Territorial del DNP (2024). Aunque estas cifras muestran una tendencia de crecimiento, el progreso ha sido lento y aún insuficiente para garantizar un acceso equitativo a estos derechos básicos. </w:t>
      </w:r>
    </w:p>
    <w:p w14:paraId="00000237" w14:textId="77777777" w:rsidR="00663CDF" w:rsidRDefault="00F71B39">
      <w:pPr>
        <w:pStyle w:val="Normal0"/>
        <w:spacing w:line="360" w:lineRule="auto"/>
      </w:pPr>
      <w:r>
        <w:t xml:space="preserve">En cuanto a servicios públicos, como lo es el agua potable, y energía eléctrica la cobertura se mantuvo alta, con valores por encima del 80%, alcanzando un pico del 91,5% en 2017. Sin embargo, estas cifras contrastan con las preocupaciones expresadas por la ciudadanía respecto a la baja inversión en infraestructura vial, los problemas de acceso a agua potable en zonas rurales y la percepción de inseguridad, especialmente en los barrios periféricos. La participación ciudadana también sigue siendo limitada: solo el 32% de los entrevistados ha tomado parte en procesos de consulta o audiencias comunitarias. En otras palabras, lo reseñado reflejan una gran brecha entre la planeación municipal y las expectativas de la población, lo cual exige a la administración municipal asumir con mayor compromiso, capacidad institucional y gerenciar, la tarea de fortalecer la confianza </w:t>
      </w:r>
      <w:r>
        <w:lastRenderedPageBreak/>
        <w:t>ciudadana a través de una gestión pública más eficiente, transparente y participativa.</w:t>
      </w:r>
    </w:p>
    <w:p w14:paraId="00000238" w14:textId="77777777" w:rsidR="00663CDF" w:rsidRDefault="00663CDF">
      <w:pPr>
        <w:pStyle w:val="Normal0"/>
        <w:spacing w:line="360" w:lineRule="auto"/>
      </w:pPr>
    </w:p>
    <w:p w14:paraId="00000239" w14:textId="77777777" w:rsidR="00663CDF" w:rsidRDefault="00F71B39">
      <w:pPr>
        <w:pStyle w:val="Ttulo4"/>
      </w:pPr>
      <w:r>
        <w:t>3.2.4. Grandes Resultados y Hallazgos</w:t>
      </w:r>
    </w:p>
    <w:p w14:paraId="0000023A" w14:textId="77777777" w:rsidR="00663CDF" w:rsidRDefault="00F71B39">
      <w:pPr>
        <w:pStyle w:val="Normal0"/>
        <w:spacing w:before="280" w:after="280" w:line="360" w:lineRule="auto"/>
      </w:pPr>
      <w:r>
        <w:t>En este apartado se exponen los principales hallazgos del estudio, sustentados con datos cuantitativos y cualitativos que exponen la realidad de la gestión pública en el municipio de Turbaco entre 2016 y 2023. A continuación, se destacan los más relevantes:</w:t>
      </w:r>
    </w:p>
    <w:p w14:paraId="0000023B" w14:textId="77777777" w:rsidR="00663CDF" w:rsidRDefault="00F71B39">
      <w:pPr>
        <w:pStyle w:val="Normal0"/>
        <w:numPr>
          <w:ilvl w:val="0"/>
          <w:numId w:val="2"/>
        </w:numPr>
        <w:pBdr>
          <w:top w:val="nil"/>
          <w:left w:val="nil"/>
          <w:bottom w:val="nil"/>
          <w:right w:val="nil"/>
          <w:between w:val="nil"/>
        </w:pBdr>
        <w:spacing w:before="280" w:line="360" w:lineRule="auto"/>
        <w:rPr>
          <w:color w:val="000000"/>
        </w:rPr>
      </w:pPr>
      <w:r>
        <w:rPr>
          <w:color w:val="000000"/>
        </w:rPr>
        <w:t xml:space="preserve">La descentralización ha logrado acercar la administración al ciudadano, pero no ha resuelto el problema estructural en cuanto a la generación de ingresos propios que limiten la subordinación financiera a la nación. Es decir, si bien, el municipio ha logrado avances sutiles en la planeación y ejecución de programas locales, persiste una marcada dependencia del Sistema General de Participaciones (SGP). En 2021, el 42,74% de los habitantes de Turbaco estaban afiliados al régimen subsidiado en salud (Alcaldía de Turbaco, 2021, p. 249), lo cual constata una alta demanda de subsidios por parte de la población y una baja capacidad local de financiar servicios esenciales con recursos propios. </w:t>
      </w:r>
    </w:p>
    <w:p w14:paraId="0000023C" w14:textId="77777777" w:rsidR="00663CDF" w:rsidRDefault="00663CDF">
      <w:pPr>
        <w:pStyle w:val="Normal0"/>
        <w:pBdr>
          <w:top w:val="nil"/>
          <w:left w:val="nil"/>
          <w:bottom w:val="nil"/>
          <w:right w:val="nil"/>
          <w:between w:val="nil"/>
        </w:pBdr>
        <w:spacing w:line="360" w:lineRule="auto"/>
        <w:ind w:left="720"/>
        <w:rPr>
          <w:color w:val="000000"/>
        </w:rPr>
      </w:pPr>
    </w:p>
    <w:p w14:paraId="0000023D" w14:textId="77777777" w:rsidR="00663CDF" w:rsidRDefault="00F71B39">
      <w:pPr>
        <w:pStyle w:val="Normal0"/>
        <w:numPr>
          <w:ilvl w:val="0"/>
          <w:numId w:val="2"/>
        </w:numPr>
        <w:pBdr>
          <w:top w:val="nil"/>
          <w:left w:val="nil"/>
          <w:bottom w:val="nil"/>
          <w:right w:val="nil"/>
          <w:between w:val="nil"/>
        </w:pBdr>
        <w:spacing w:line="360" w:lineRule="auto"/>
        <w:rPr>
          <w:color w:val="000000"/>
        </w:rPr>
      </w:pPr>
      <w:r>
        <w:rPr>
          <w:color w:val="000000"/>
        </w:rPr>
        <w:t xml:space="preserve">En educación, se identifican progresos importantes en infraestructura y cobertura del programa de alimentación escolar (PAE), pero también se reconocen desafíos críticos para la permanencia de estudiantes en las escuelas. En el mismo año, se entregaron más de 245.000 raciones escolares a 2.911 estudiantes, beneficiando principalmente a niños de primaria y secundaria (Alcaldía de Turbaco, 2021, pp. 350–352). Sin embargo, el problema de deserción sigue siendo alarmante: solo en 2020, cuatro instituciones oficiales del municipio reportaron 221 estudiantes que abandonaron el sistema escolar (Alcaldía de Turbaco, 2020, p. 20). Estos datos ponen de manifiesto que el acceso no garantiza la permanencia, y que </w:t>
      </w:r>
      <w:r>
        <w:rPr>
          <w:color w:val="000000"/>
        </w:rPr>
        <w:lastRenderedPageBreak/>
        <w:t xml:space="preserve">aún se deben vigorizar estrategias psicosociales y económicas para evitar el abandono. </w:t>
      </w:r>
    </w:p>
    <w:p w14:paraId="0000023E" w14:textId="77777777" w:rsidR="00663CDF" w:rsidRDefault="00663CDF">
      <w:pPr>
        <w:pStyle w:val="Normal0"/>
        <w:pBdr>
          <w:top w:val="nil"/>
          <w:left w:val="nil"/>
          <w:bottom w:val="nil"/>
          <w:right w:val="nil"/>
          <w:between w:val="nil"/>
        </w:pBdr>
        <w:ind w:left="720"/>
        <w:rPr>
          <w:color w:val="000000"/>
        </w:rPr>
      </w:pPr>
    </w:p>
    <w:p w14:paraId="0000023F" w14:textId="77777777" w:rsidR="00663CDF" w:rsidRDefault="00F71B39">
      <w:pPr>
        <w:pStyle w:val="Normal0"/>
        <w:numPr>
          <w:ilvl w:val="0"/>
          <w:numId w:val="2"/>
        </w:numPr>
        <w:pBdr>
          <w:top w:val="nil"/>
          <w:left w:val="nil"/>
          <w:bottom w:val="nil"/>
          <w:right w:val="nil"/>
          <w:between w:val="nil"/>
        </w:pBdr>
        <w:spacing w:line="360" w:lineRule="auto"/>
        <w:rPr>
          <w:color w:val="000000"/>
        </w:rPr>
      </w:pPr>
      <w:r>
        <w:rPr>
          <w:color w:val="000000"/>
        </w:rPr>
        <w:t>Las brechas territoriales en infraestructura básica, especialmente en agua potable y saneamiento, siguen marcando la desigualdad entre la zona urbana y rural. Según el Plan de Desarrollo 2016–2019, mientras que la cobertura de acueducto en la zona urbana era del 66,99% con una continuidad de 14 horas diarias, en el área rural esta cobertura apenas llegaba al 3,3% (Alcaldía de Turbaco, 2016, pp. 91-93). En el corregimiento de San José de Chiquito y la vereda Aguas Prietas, aún no cuentan con acceso a fuentes estables de agua potable, lo que vulnera derechos básicos y limita el desarrollo humano.</w:t>
      </w:r>
    </w:p>
    <w:p w14:paraId="00000240" w14:textId="77777777" w:rsidR="00663CDF" w:rsidRDefault="00F71B39">
      <w:pPr>
        <w:pStyle w:val="Normal0"/>
        <w:numPr>
          <w:ilvl w:val="0"/>
          <w:numId w:val="2"/>
        </w:numPr>
        <w:pBdr>
          <w:top w:val="nil"/>
          <w:left w:val="nil"/>
          <w:bottom w:val="nil"/>
          <w:right w:val="nil"/>
          <w:between w:val="nil"/>
        </w:pBdr>
        <w:spacing w:after="280" w:line="360" w:lineRule="auto"/>
        <w:rPr>
          <w:color w:val="000000"/>
        </w:rPr>
      </w:pPr>
      <w:r>
        <w:rPr>
          <w:color w:val="000000"/>
        </w:rPr>
        <w:t>Aunque Turbaco ha registrado avances comparativos frente a otros municipios de categoría similar, su autonomía fiscal y la eficiencia en la ejecución de proyectos continúan siendo limitadas. El análisis de la Ley 617 de 2000 revela que, en varios ejercicios fiscales, el municipio ha superado los límites de gastos de funcionamiento autorizados para su categoría, afectando así su capacidad de inversión social sostenible (Sarabia &amp; Montero, 2025, p. 52). Además, los ingresos tributarios propios (como el predial o el ICA) aún son insuficientes para disminuir la dependencia de los recursos nacionales, lo que limita su maniobrabilidad financiera y lo coloca en una situación de vulnerabilidad estructural frente a cambios económicos o políticos.</w:t>
      </w:r>
    </w:p>
    <w:p w14:paraId="00000241" w14:textId="77777777" w:rsidR="00663CDF" w:rsidRDefault="00663CDF">
      <w:pPr>
        <w:pStyle w:val="Normal0"/>
        <w:spacing w:after="160" w:line="360" w:lineRule="auto"/>
      </w:pPr>
    </w:p>
    <w:p w14:paraId="00000242" w14:textId="77777777" w:rsidR="00663CDF" w:rsidRDefault="00663CDF">
      <w:pPr>
        <w:pStyle w:val="Normal0"/>
        <w:spacing w:after="160" w:line="360" w:lineRule="auto"/>
      </w:pPr>
    </w:p>
    <w:p w14:paraId="00000243" w14:textId="77777777" w:rsidR="00663CDF" w:rsidRDefault="00F71B39">
      <w:pPr>
        <w:pStyle w:val="Ttulo2"/>
        <w:spacing w:line="360" w:lineRule="auto"/>
      </w:pPr>
      <w:bookmarkStart w:id="31" w:name="_heading=h.ajru37el0jyz" w:colFirst="0" w:colLast="0"/>
      <w:bookmarkEnd w:id="31"/>
      <w:r>
        <w:t>CAPÍTULO 4: GESTIÓN FINANCIERA Y ADMINISTRATIVA EN TURBACO (2016-2023)</w:t>
      </w:r>
    </w:p>
    <w:p w14:paraId="00000244" w14:textId="77777777" w:rsidR="00663CDF" w:rsidRDefault="00663CDF">
      <w:pPr>
        <w:pStyle w:val="Normal0"/>
        <w:spacing w:line="360" w:lineRule="auto"/>
      </w:pPr>
    </w:p>
    <w:p w14:paraId="00000245" w14:textId="77777777" w:rsidR="00663CDF" w:rsidRDefault="00F71B39">
      <w:pPr>
        <w:pStyle w:val="Normal0"/>
        <w:spacing w:after="160" w:line="360" w:lineRule="auto"/>
      </w:pPr>
      <w:r>
        <w:t>El presente capítulo tiene como objetivo reflexionar sobre el nivel de cumplimiento en el uso de los recursos financieros y fiscales en Turbaco durante el periodo 2016-</w:t>
      </w:r>
      <w:r>
        <w:lastRenderedPageBreak/>
        <w:t>2023, en relación con los mandatos constitucionales. Así mismo, se examinará la incidencia de la categorización municipal en la estructura organizacional y la gestión fiscal y administrativa, para determinar su incidencia en el desarrollo social de la población.</w:t>
      </w:r>
    </w:p>
    <w:p w14:paraId="00000246" w14:textId="77777777" w:rsidR="00663CDF" w:rsidRDefault="00F71B39">
      <w:pPr>
        <w:pStyle w:val="Normal0"/>
        <w:spacing w:after="160" w:line="360" w:lineRule="auto"/>
      </w:pPr>
      <w:r>
        <w:t>El marco normativo que rige la gestión fiscal y administrativa de los municipios en Colombia se fundamenta en la Ley 617 de 2000, la cual establece criterios para la racionalización del gasto, el control financiero y la transferencia de recursos. En este contexto, la categorización municipal adquiere relevancia como factor determinante para la distribución de competencias y en la capacidad de gestión de los entes territoriales.</w:t>
      </w:r>
    </w:p>
    <w:p w14:paraId="00000247" w14:textId="77777777" w:rsidR="00663CDF" w:rsidRDefault="00F71B39">
      <w:pPr>
        <w:pStyle w:val="Normal0"/>
        <w:spacing w:after="160" w:line="360" w:lineRule="auto"/>
      </w:pPr>
      <w:r>
        <w:t>Este análisis se complementa con un estudio de la gestión administrativa y financiera del municipio, abordando la eficiencia de los procesos, la asignación de recursos y los desafíos enfrentados en la provisión de bienes y servicios públicos. Finalmente, se examinan los efectos de la descentralización y el desarrollo territorial en la estructura de gobernanza local.</w:t>
      </w:r>
    </w:p>
    <w:p w14:paraId="00000248" w14:textId="77777777" w:rsidR="00663CDF" w:rsidRDefault="00663CDF">
      <w:pPr>
        <w:pStyle w:val="Normal0"/>
        <w:spacing w:after="160" w:line="360" w:lineRule="auto"/>
      </w:pPr>
    </w:p>
    <w:p w14:paraId="00000249" w14:textId="77777777" w:rsidR="00663CDF" w:rsidRDefault="00F71B39">
      <w:pPr>
        <w:pStyle w:val="Ttulo3"/>
        <w:spacing w:line="360" w:lineRule="auto"/>
      </w:pPr>
      <w:bookmarkStart w:id="32" w:name="_heading=h.y9ciqxa2ln2u" w:colFirst="0" w:colLast="0"/>
      <w:bookmarkEnd w:id="32"/>
      <w:r>
        <w:t>4.1. Incidencia de la categorización municipal en Turbaco (2016-2023)</w:t>
      </w:r>
    </w:p>
    <w:p w14:paraId="0000024A" w14:textId="77777777" w:rsidR="00663CDF" w:rsidRDefault="00F71B39">
      <w:pPr>
        <w:pStyle w:val="Normal0"/>
        <w:spacing w:after="160" w:line="360" w:lineRule="auto"/>
      </w:pPr>
      <w:r>
        <w:t>Durante el periodo considerado, Turbaco se mantuvo en la cuarta categoría municipal, lo que limitó su autonomía fiscal y generó una alta dependencia de las transferencias del gobierno central. A continuación, se presentan los principales efectos de esta clasificación:</w:t>
      </w:r>
    </w:p>
    <w:p w14:paraId="0000024B" w14:textId="77777777" w:rsidR="00663CDF" w:rsidRDefault="00663CDF">
      <w:pPr>
        <w:pStyle w:val="Normal0"/>
        <w:spacing w:after="160" w:line="360" w:lineRule="auto"/>
      </w:pPr>
    </w:p>
    <w:p w14:paraId="0000024C" w14:textId="77777777" w:rsidR="00663CDF" w:rsidRDefault="00663CDF">
      <w:pPr>
        <w:pStyle w:val="Normal0"/>
        <w:spacing w:after="160" w:line="360" w:lineRule="auto"/>
      </w:pPr>
    </w:p>
    <w:p w14:paraId="0000024D" w14:textId="77777777" w:rsidR="00663CDF" w:rsidRDefault="00F71B39">
      <w:pPr>
        <w:pStyle w:val="Normal0"/>
        <w:pBdr>
          <w:top w:val="nil"/>
          <w:left w:val="nil"/>
          <w:bottom w:val="nil"/>
          <w:right w:val="nil"/>
          <w:between w:val="nil"/>
        </w:pBdr>
        <w:spacing w:after="160" w:line="360" w:lineRule="auto"/>
        <w:rPr>
          <w:b/>
          <w:color w:val="000000"/>
        </w:rPr>
      </w:pPr>
      <w:bookmarkStart w:id="33" w:name="_heading=h.6qua978tzami" w:colFirst="0" w:colLast="0"/>
      <w:bookmarkEnd w:id="33"/>
      <w:r>
        <w:rPr>
          <w:b/>
          <w:color w:val="000000"/>
        </w:rPr>
        <w:t>Tabla 2. Incidencia de la categorización municipal en Turbaco</w:t>
      </w:r>
    </w:p>
    <w:tbl>
      <w:tblPr>
        <w:tblStyle w:val="a1"/>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873"/>
        <w:gridCol w:w="3277"/>
        <w:gridCol w:w="3678"/>
      </w:tblGrid>
      <w:tr w:rsidR="00663CDF" w14:paraId="18BFE5B3" w14:textId="77777777">
        <w:tc>
          <w:tcPr>
            <w:tcW w:w="1873" w:type="dxa"/>
          </w:tcPr>
          <w:p w14:paraId="0000024E" w14:textId="77777777" w:rsidR="00663CDF" w:rsidRDefault="00F71B39">
            <w:pPr>
              <w:pStyle w:val="Normal0"/>
              <w:spacing w:after="160" w:line="360" w:lineRule="auto"/>
              <w:rPr>
                <w:b/>
                <w:sz w:val="22"/>
                <w:szCs w:val="22"/>
              </w:rPr>
            </w:pPr>
            <w:r>
              <w:rPr>
                <w:b/>
                <w:sz w:val="22"/>
                <w:szCs w:val="22"/>
              </w:rPr>
              <w:t>Aspecto</w:t>
            </w:r>
          </w:p>
        </w:tc>
        <w:tc>
          <w:tcPr>
            <w:tcW w:w="3277" w:type="dxa"/>
          </w:tcPr>
          <w:p w14:paraId="0000024F" w14:textId="77777777" w:rsidR="00663CDF" w:rsidRDefault="00F71B39">
            <w:pPr>
              <w:pStyle w:val="Normal0"/>
              <w:spacing w:after="160" w:line="360" w:lineRule="auto"/>
              <w:rPr>
                <w:b/>
                <w:sz w:val="22"/>
                <w:szCs w:val="22"/>
              </w:rPr>
            </w:pPr>
            <w:r>
              <w:rPr>
                <w:b/>
                <w:sz w:val="22"/>
                <w:szCs w:val="22"/>
              </w:rPr>
              <w:t>Ley 617</w:t>
            </w:r>
          </w:p>
        </w:tc>
        <w:tc>
          <w:tcPr>
            <w:tcW w:w="3678" w:type="dxa"/>
          </w:tcPr>
          <w:p w14:paraId="00000250" w14:textId="77777777" w:rsidR="00663CDF" w:rsidRDefault="00F71B39">
            <w:pPr>
              <w:pStyle w:val="Normal0"/>
              <w:spacing w:after="160" w:line="360" w:lineRule="auto"/>
              <w:rPr>
                <w:b/>
                <w:sz w:val="22"/>
                <w:szCs w:val="22"/>
              </w:rPr>
            </w:pPr>
            <w:r>
              <w:rPr>
                <w:b/>
                <w:sz w:val="22"/>
                <w:szCs w:val="22"/>
              </w:rPr>
              <w:t>Turbaco (2016-2023)</w:t>
            </w:r>
          </w:p>
        </w:tc>
      </w:tr>
      <w:tr w:rsidR="00663CDF" w14:paraId="2EDFA584" w14:textId="77777777">
        <w:tc>
          <w:tcPr>
            <w:tcW w:w="1873" w:type="dxa"/>
          </w:tcPr>
          <w:p w14:paraId="00000251" w14:textId="77777777" w:rsidR="00663CDF" w:rsidRDefault="00F71B39">
            <w:pPr>
              <w:pStyle w:val="Normal0"/>
              <w:spacing w:after="160" w:line="360" w:lineRule="auto"/>
              <w:rPr>
                <w:sz w:val="22"/>
                <w:szCs w:val="22"/>
              </w:rPr>
            </w:pPr>
            <w:r>
              <w:rPr>
                <w:b/>
                <w:sz w:val="22"/>
                <w:szCs w:val="22"/>
              </w:rPr>
              <w:lastRenderedPageBreak/>
              <w:t>Categorización</w:t>
            </w:r>
          </w:p>
        </w:tc>
        <w:tc>
          <w:tcPr>
            <w:tcW w:w="3277" w:type="dxa"/>
          </w:tcPr>
          <w:p w14:paraId="00000252" w14:textId="77777777" w:rsidR="00663CDF" w:rsidRDefault="00F71B39">
            <w:pPr>
              <w:pStyle w:val="Normal0"/>
              <w:spacing w:after="160" w:line="360" w:lineRule="auto"/>
              <w:rPr>
                <w:sz w:val="22"/>
                <w:szCs w:val="22"/>
              </w:rPr>
            </w:pPr>
            <w:r>
              <w:rPr>
                <w:sz w:val="22"/>
                <w:szCs w:val="22"/>
              </w:rPr>
              <w:t>Clasificación por ingresos y población, determinando autonomía y obligaciones.</w:t>
            </w:r>
          </w:p>
        </w:tc>
        <w:tc>
          <w:tcPr>
            <w:tcW w:w="3678" w:type="dxa"/>
          </w:tcPr>
          <w:p w14:paraId="00000253" w14:textId="77777777" w:rsidR="00663CDF" w:rsidRDefault="00F71B39">
            <w:pPr>
              <w:pStyle w:val="Normal0"/>
              <w:spacing w:after="160" w:line="360" w:lineRule="auto"/>
              <w:rPr>
                <w:sz w:val="22"/>
                <w:szCs w:val="22"/>
              </w:rPr>
            </w:pPr>
            <w:r>
              <w:rPr>
                <w:sz w:val="22"/>
                <w:szCs w:val="22"/>
              </w:rPr>
              <w:t>Mantuvo la cuarta categoría, con restricciones en autonomía fiscal.</w:t>
            </w:r>
          </w:p>
        </w:tc>
      </w:tr>
      <w:tr w:rsidR="00663CDF" w14:paraId="76C61D77" w14:textId="77777777">
        <w:tc>
          <w:tcPr>
            <w:tcW w:w="1873" w:type="dxa"/>
          </w:tcPr>
          <w:p w14:paraId="00000254" w14:textId="77777777" w:rsidR="00663CDF" w:rsidRDefault="00F71B39">
            <w:pPr>
              <w:pStyle w:val="Normal0"/>
              <w:spacing w:after="160" w:line="360" w:lineRule="auto"/>
              <w:rPr>
                <w:sz w:val="22"/>
                <w:szCs w:val="22"/>
              </w:rPr>
            </w:pPr>
            <w:r>
              <w:rPr>
                <w:b/>
                <w:sz w:val="22"/>
                <w:szCs w:val="22"/>
              </w:rPr>
              <w:t>Gasto público</w:t>
            </w:r>
          </w:p>
        </w:tc>
        <w:tc>
          <w:tcPr>
            <w:tcW w:w="3277" w:type="dxa"/>
          </w:tcPr>
          <w:p w14:paraId="00000255" w14:textId="77777777" w:rsidR="00663CDF" w:rsidRDefault="00F71B39">
            <w:pPr>
              <w:pStyle w:val="Normal0"/>
              <w:spacing w:after="160" w:line="360" w:lineRule="auto"/>
              <w:rPr>
                <w:sz w:val="22"/>
                <w:szCs w:val="22"/>
              </w:rPr>
            </w:pPr>
            <w:r>
              <w:rPr>
                <w:sz w:val="22"/>
                <w:szCs w:val="22"/>
              </w:rPr>
              <w:t>Límites al gasto de funcionamiento según ingresos ICLD.</w:t>
            </w:r>
          </w:p>
        </w:tc>
        <w:tc>
          <w:tcPr>
            <w:tcW w:w="3678" w:type="dxa"/>
          </w:tcPr>
          <w:p w14:paraId="00000256" w14:textId="77777777" w:rsidR="00663CDF" w:rsidRDefault="00F71B39">
            <w:pPr>
              <w:pStyle w:val="Normal0"/>
              <w:spacing w:after="160" w:line="360" w:lineRule="auto"/>
              <w:rPr>
                <w:sz w:val="22"/>
                <w:szCs w:val="22"/>
              </w:rPr>
            </w:pPr>
            <w:r>
              <w:rPr>
                <w:sz w:val="22"/>
                <w:szCs w:val="22"/>
              </w:rPr>
              <w:t>En 2021, el gasto de funcionamiento cayó al 61%, reflejando un ajuste financiero.</w:t>
            </w:r>
          </w:p>
        </w:tc>
      </w:tr>
      <w:tr w:rsidR="00663CDF" w14:paraId="32266146" w14:textId="77777777">
        <w:tc>
          <w:tcPr>
            <w:tcW w:w="1873" w:type="dxa"/>
          </w:tcPr>
          <w:p w14:paraId="00000257" w14:textId="77777777" w:rsidR="00663CDF" w:rsidRDefault="00F71B39">
            <w:pPr>
              <w:pStyle w:val="Normal0"/>
              <w:spacing w:after="160" w:line="360" w:lineRule="auto"/>
              <w:rPr>
                <w:sz w:val="22"/>
                <w:szCs w:val="22"/>
              </w:rPr>
            </w:pPr>
            <w:r>
              <w:rPr>
                <w:b/>
                <w:sz w:val="22"/>
                <w:szCs w:val="22"/>
              </w:rPr>
              <w:t>Control financiero</w:t>
            </w:r>
          </w:p>
        </w:tc>
        <w:tc>
          <w:tcPr>
            <w:tcW w:w="3277" w:type="dxa"/>
          </w:tcPr>
          <w:p w14:paraId="00000258" w14:textId="77777777" w:rsidR="00663CDF" w:rsidRDefault="00F71B39">
            <w:pPr>
              <w:pStyle w:val="Normal0"/>
              <w:spacing w:after="160" w:line="360" w:lineRule="auto"/>
              <w:rPr>
                <w:sz w:val="22"/>
                <w:szCs w:val="22"/>
              </w:rPr>
            </w:pPr>
            <w:r>
              <w:rPr>
                <w:sz w:val="22"/>
                <w:szCs w:val="22"/>
              </w:rPr>
              <w:t>Supervisión y sanciones por mal uso de recursos.</w:t>
            </w:r>
          </w:p>
        </w:tc>
        <w:tc>
          <w:tcPr>
            <w:tcW w:w="3678" w:type="dxa"/>
          </w:tcPr>
          <w:p w14:paraId="00000259" w14:textId="77777777" w:rsidR="00663CDF" w:rsidRDefault="00F71B39">
            <w:pPr>
              <w:pStyle w:val="Normal0"/>
              <w:spacing w:after="160" w:line="360" w:lineRule="auto"/>
              <w:rPr>
                <w:sz w:val="22"/>
                <w:szCs w:val="22"/>
              </w:rPr>
            </w:pPr>
            <w:r>
              <w:rPr>
                <w:sz w:val="22"/>
                <w:szCs w:val="22"/>
              </w:rPr>
              <w:t>Se reforzó la supervisión, pero persisten retos en la ejecución eficiente.</w:t>
            </w:r>
          </w:p>
        </w:tc>
      </w:tr>
      <w:tr w:rsidR="00663CDF" w14:paraId="32840746" w14:textId="77777777">
        <w:tc>
          <w:tcPr>
            <w:tcW w:w="1873" w:type="dxa"/>
          </w:tcPr>
          <w:p w14:paraId="0000025A" w14:textId="77777777" w:rsidR="00663CDF" w:rsidRDefault="00F71B39">
            <w:pPr>
              <w:pStyle w:val="Normal0"/>
              <w:spacing w:after="160" w:line="360" w:lineRule="auto"/>
              <w:rPr>
                <w:sz w:val="22"/>
                <w:szCs w:val="22"/>
              </w:rPr>
            </w:pPr>
            <w:r>
              <w:rPr>
                <w:b/>
                <w:sz w:val="22"/>
                <w:szCs w:val="22"/>
              </w:rPr>
              <w:t>Transferencias</w:t>
            </w:r>
          </w:p>
        </w:tc>
        <w:tc>
          <w:tcPr>
            <w:tcW w:w="3277" w:type="dxa"/>
          </w:tcPr>
          <w:p w14:paraId="0000025B" w14:textId="77777777" w:rsidR="00663CDF" w:rsidRDefault="00F71B39">
            <w:pPr>
              <w:pStyle w:val="Normal0"/>
              <w:spacing w:after="160" w:line="360" w:lineRule="auto"/>
              <w:rPr>
                <w:sz w:val="22"/>
                <w:szCs w:val="22"/>
              </w:rPr>
            </w:pPr>
            <w:r>
              <w:rPr>
                <w:sz w:val="22"/>
                <w:szCs w:val="22"/>
              </w:rPr>
              <w:t>Asignación de recursos según categoría municipal.</w:t>
            </w:r>
          </w:p>
        </w:tc>
        <w:tc>
          <w:tcPr>
            <w:tcW w:w="3678" w:type="dxa"/>
          </w:tcPr>
          <w:p w14:paraId="0000025C" w14:textId="77777777" w:rsidR="00663CDF" w:rsidRDefault="00F71B39">
            <w:pPr>
              <w:pStyle w:val="Normal0"/>
              <w:spacing w:after="160" w:line="360" w:lineRule="auto"/>
              <w:rPr>
                <w:sz w:val="22"/>
                <w:szCs w:val="22"/>
              </w:rPr>
            </w:pPr>
            <w:r>
              <w:rPr>
                <w:sz w:val="22"/>
                <w:szCs w:val="22"/>
              </w:rPr>
              <w:t>Inversión en salud, educación e infraestructura, aunque con brechas en zonas rurales.</w:t>
            </w:r>
          </w:p>
        </w:tc>
      </w:tr>
      <w:tr w:rsidR="00663CDF" w14:paraId="7FC20124" w14:textId="77777777">
        <w:tc>
          <w:tcPr>
            <w:tcW w:w="1873" w:type="dxa"/>
          </w:tcPr>
          <w:p w14:paraId="0000025D" w14:textId="77777777" w:rsidR="00663CDF" w:rsidRDefault="00F71B39">
            <w:pPr>
              <w:pStyle w:val="Normal0"/>
              <w:spacing w:after="160" w:line="360" w:lineRule="auto"/>
              <w:rPr>
                <w:sz w:val="22"/>
                <w:szCs w:val="22"/>
              </w:rPr>
            </w:pPr>
            <w:r>
              <w:rPr>
                <w:b/>
                <w:sz w:val="22"/>
                <w:szCs w:val="22"/>
              </w:rPr>
              <w:t>Desarrollo local</w:t>
            </w:r>
          </w:p>
        </w:tc>
        <w:tc>
          <w:tcPr>
            <w:tcW w:w="3277" w:type="dxa"/>
          </w:tcPr>
          <w:p w14:paraId="0000025E" w14:textId="77777777" w:rsidR="00663CDF" w:rsidRDefault="00F71B39">
            <w:pPr>
              <w:pStyle w:val="Normal0"/>
              <w:spacing w:after="160" w:line="360" w:lineRule="auto"/>
              <w:rPr>
                <w:sz w:val="22"/>
                <w:szCs w:val="22"/>
              </w:rPr>
            </w:pPr>
            <w:r>
              <w:rPr>
                <w:sz w:val="22"/>
                <w:szCs w:val="22"/>
              </w:rPr>
              <w:t>Mejoras en calidad de vida y gestión territorial.</w:t>
            </w:r>
          </w:p>
        </w:tc>
        <w:tc>
          <w:tcPr>
            <w:tcW w:w="3678" w:type="dxa"/>
          </w:tcPr>
          <w:p w14:paraId="0000025F" w14:textId="77777777" w:rsidR="00663CDF" w:rsidRDefault="00F71B39">
            <w:pPr>
              <w:pStyle w:val="Normal0"/>
              <w:spacing w:after="160" w:line="360" w:lineRule="auto"/>
              <w:rPr>
                <w:sz w:val="22"/>
                <w:szCs w:val="22"/>
              </w:rPr>
            </w:pPr>
            <w:r>
              <w:rPr>
                <w:sz w:val="22"/>
                <w:szCs w:val="22"/>
              </w:rPr>
              <w:t>Incremento del índice NBS del 79.5% en 2016 al 85% en 2023, con desigualdades persistentes.</w:t>
            </w:r>
          </w:p>
        </w:tc>
      </w:tr>
    </w:tbl>
    <w:p w14:paraId="00000260" w14:textId="77777777" w:rsidR="00663CDF" w:rsidRDefault="00F71B39">
      <w:pPr>
        <w:pStyle w:val="Normal0"/>
        <w:spacing w:after="160" w:line="360" w:lineRule="auto"/>
      </w:pPr>
      <w:r>
        <w:t xml:space="preserve">Elaboración propia. Fuente: Informes de gestión administración 2016-2023. </w:t>
      </w:r>
    </w:p>
    <w:p w14:paraId="00000261" w14:textId="77777777" w:rsidR="00663CDF" w:rsidRDefault="00663CDF">
      <w:pPr>
        <w:pStyle w:val="Normal0"/>
        <w:spacing w:after="160" w:line="360" w:lineRule="auto"/>
      </w:pPr>
    </w:p>
    <w:p w14:paraId="00000262" w14:textId="77777777" w:rsidR="00663CDF" w:rsidRDefault="00F71B39">
      <w:pPr>
        <w:pStyle w:val="Ttulo3"/>
        <w:spacing w:line="360" w:lineRule="auto"/>
      </w:pPr>
      <w:bookmarkStart w:id="34" w:name="_heading=h.5h3ryxqz4ki6" w:colFirst="0" w:colLast="0"/>
      <w:bookmarkEnd w:id="34"/>
      <w:r>
        <w:t>4.4. Gestión administrativa y financiera en Turbaco</w:t>
      </w:r>
    </w:p>
    <w:p w14:paraId="00000263" w14:textId="77777777" w:rsidR="00663CDF" w:rsidRDefault="00F71B39">
      <w:pPr>
        <w:pStyle w:val="Normal0"/>
        <w:spacing w:after="160" w:line="360" w:lineRule="auto"/>
      </w:pPr>
      <w:r>
        <w:t>La gestión administrativa y financiera es fundamental para la sostenibilidad del municipio. A continuación, se abordan sus principales aspectos:</w:t>
      </w:r>
    </w:p>
    <w:p w14:paraId="00000264" w14:textId="77777777" w:rsidR="00663CDF" w:rsidRDefault="00F71B39">
      <w:pPr>
        <w:pStyle w:val="Normal0"/>
        <w:numPr>
          <w:ilvl w:val="0"/>
          <w:numId w:val="6"/>
        </w:numPr>
        <w:spacing w:after="160" w:line="360" w:lineRule="auto"/>
      </w:pPr>
      <w:r>
        <w:rPr>
          <w:b/>
        </w:rPr>
        <w:t>Gestión administrativa:</w:t>
      </w:r>
      <w:r>
        <w:t xml:space="preserve"> Se refiere a la organización, dirección y control de los procesos internos de la administración pública, destacando entre otros:  la planificación estratégica, la generación de recursos, seguimiento y evaluación de procesos y la gestión contractual como soporte para la producción de bienes y servicios de la población.   </w:t>
      </w:r>
    </w:p>
    <w:p w14:paraId="00000265" w14:textId="77777777" w:rsidR="00663CDF" w:rsidRDefault="00F71B39">
      <w:pPr>
        <w:pStyle w:val="Normal0"/>
        <w:numPr>
          <w:ilvl w:val="0"/>
          <w:numId w:val="6"/>
        </w:numPr>
        <w:spacing w:after="160" w:line="360" w:lineRule="auto"/>
      </w:pPr>
      <w:r>
        <w:rPr>
          <w:b/>
        </w:rPr>
        <w:t>Gestión financiera:</w:t>
      </w:r>
      <w:r>
        <w:t xml:space="preserve"> Comprende la administración de ingresos, egresos, deudas y transferencias del municipio, se enfoca en garantizar la estabilidad fiscal y la eficiente asignación de los recursos.</w:t>
      </w:r>
    </w:p>
    <w:p w14:paraId="00000266" w14:textId="77777777" w:rsidR="00663CDF" w:rsidRDefault="00663CDF">
      <w:pPr>
        <w:pStyle w:val="Normal0"/>
        <w:spacing w:after="160" w:line="360" w:lineRule="auto"/>
      </w:pPr>
    </w:p>
    <w:p w14:paraId="00000267" w14:textId="77777777" w:rsidR="00663CDF" w:rsidRDefault="00F71B39">
      <w:pPr>
        <w:pStyle w:val="Ttulo3"/>
        <w:spacing w:line="360" w:lineRule="auto"/>
      </w:pPr>
      <w:bookmarkStart w:id="35" w:name="_heading=h.1lev8mx2aa0o" w:colFirst="0" w:colLast="0"/>
      <w:bookmarkEnd w:id="35"/>
      <w:r>
        <w:t>4.5. Descentralización y desarrollo territorial</w:t>
      </w:r>
    </w:p>
    <w:p w14:paraId="00000268" w14:textId="77777777" w:rsidR="00663CDF" w:rsidRDefault="00F71B39">
      <w:pPr>
        <w:pStyle w:val="Normal0"/>
        <w:spacing w:after="160" w:line="360" w:lineRule="auto"/>
      </w:pPr>
      <w:r>
        <w:t>La descentralización ha incidido en la estructura organizacional de la administración municipal, favoreciendo la participación ciudadana y la adaptabilidad de las políticas locales. Entre sus ventajas destacan:</w:t>
      </w:r>
    </w:p>
    <w:p w14:paraId="00000269" w14:textId="77777777" w:rsidR="00663CDF" w:rsidRDefault="00F71B39">
      <w:pPr>
        <w:pStyle w:val="Normal0"/>
        <w:numPr>
          <w:ilvl w:val="0"/>
          <w:numId w:val="7"/>
        </w:numPr>
        <w:spacing w:after="160" w:line="360" w:lineRule="auto"/>
      </w:pPr>
      <w:r>
        <w:t>Mayor eficiencia en la prestación de servicios públicos.</w:t>
      </w:r>
    </w:p>
    <w:p w14:paraId="0000026A" w14:textId="77777777" w:rsidR="00663CDF" w:rsidRDefault="00F71B39">
      <w:pPr>
        <w:pStyle w:val="Normal0"/>
        <w:numPr>
          <w:ilvl w:val="0"/>
          <w:numId w:val="7"/>
        </w:numPr>
        <w:spacing w:after="160" w:line="360" w:lineRule="auto"/>
      </w:pPr>
      <w:r>
        <w:t>Incentivo a la competencia entre administraciones locales.</w:t>
      </w:r>
    </w:p>
    <w:p w14:paraId="0000026B" w14:textId="77777777" w:rsidR="00663CDF" w:rsidRDefault="00F71B39">
      <w:pPr>
        <w:pStyle w:val="Normal0"/>
        <w:numPr>
          <w:ilvl w:val="0"/>
          <w:numId w:val="7"/>
        </w:numPr>
        <w:spacing w:after="160" w:line="360" w:lineRule="auto"/>
      </w:pPr>
      <w:r>
        <w:t>Fomento de la innovación en la gestión pública.</w:t>
      </w:r>
    </w:p>
    <w:p w14:paraId="0000026C" w14:textId="77777777" w:rsidR="00663CDF" w:rsidRDefault="00F71B39">
      <w:pPr>
        <w:pStyle w:val="Normal0"/>
        <w:spacing w:after="160" w:line="360" w:lineRule="auto"/>
      </w:pPr>
      <w:r>
        <w:t>No obstante, se identifican desventajas como la dependencia financiera del nivel central y la disparidad en capacidades de gestión entre municipios.</w:t>
      </w:r>
    </w:p>
    <w:p w14:paraId="0000026D" w14:textId="77777777" w:rsidR="00663CDF" w:rsidRDefault="00663CDF">
      <w:pPr>
        <w:pStyle w:val="Normal0"/>
        <w:spacing w:after="160" w:line="360" w:lineRule="auto"/>
      </w:pPr>
    </w:p>
    <w:p w14:paraId="0000026E" w14:textId="77777777" w:rsidR="00663CDF" w:rsidRDefault="00663CDF">
      <w:pPr>
        <w:pStyle w:val="Normal0"/>
        <w:spacing w:after="160" w:line="360" w:lineRule="auto"/>
      </w:pPr>
    </w:p>
    <w:p w14:paraId="0000026F" w14:textId="77777777" w:rsidR="00663CDF" w:rsidRDefault="00F71B39">
      <w:pPr>
        <w:pStyle w:val="Ttulo3"/>
        <w:spacing w:line="360" w:lineRule="auto"/>
      </w:pPr>
      <w:bookmarkStart w:id="36" w:name="_heading=h.23sukib6cjhx" w:colFirst="0" w:colLast="0"/>
      <w:bookmarkEnd w:id="36"/>
      <w:r>
        <w:t>4.6. Cumplimiento del Artículo 6 de la Ley 617 de 2000 en el Municipio de Turbaco (2016-2023).</w:t>
      </w:r>
    </w:p>
    <w:p w14:paraId="00000270" w14:textId="77777777" w:rsidR="00663CDF" w:rsidRDefault="00663CDF">
      <w:pPr>
        <w:pStyle w:val="Normal0"/>
        <w:spacing w:line="360" w:lineRule="auto"/>
      </w:pPr>
    </w:p>
    <w:p w14:paraId="00000271" w14:textId="77777777" w:rsidR="00663CDF" w:rsidRDefault="00F71B39">
      <w:pPr>
        <w:pStyle w:val="Normal0"/>
        <w:spacing w:line="360" w:lineRule="auto"/>
      </w:pPr>
      <w:r>
        <w:t xml:space="preserve">La Ley 617 de 2000 es una normativa esencial en el país que busca garantizar la sostenibilidad fiscal de los entes territoriales, regulando el nivel de gasto de funcionamiento que estos pueden realizar. El artículo 6 de esta ley establece límites específicos sobre los gastos de funcionamiento de los municipios, calculados como un porcentaje de los ingresos corrientes de libre destinación (ICLD), la Ley 617 determina que los municipios deben mantener sus gastos de funcionamiento dentro de un porcentaje específico de sus ICLD, con el objetivo de evitar su incremento, el cual podría comprometer la capacidad del municipio para invertir en desarrollo y prestar servicios esenciales a la comunidad. Es claro que el incumplimiento de esta normativa puede llevar a la imposición de sanciones fiscales y a una mayor supervisión por parte del gobierno central. </w:t>
      </w:r>
    </w:p>
    <w:p w14:paraId="00000272" w14:textId="77777777" w:rsidR="00663CDF" w:rsidRDefault="00F71B39">
      <w:pPr>
        <w:pStyle w:val="Normal0"/>
        <w:spacing w:line="360" w:lineRule="auto"/>
      </w:pPr>
      <w:r>
        <w:lastRenderedPageBreak/>
        <w:t xml:space="preserve">En ese sentido para establecer el cumplimiento de esta normativa (Ley 617/2000) por parte del municipio durante el periodo 2016-2023, se acude tanto a los datos municipales como información obtenida de la plataforma Terridata del DNP; con miras a examinar los datos sobre los ingresos ICLD y los gastos de funcionamiento durante el periodo 2016-2023. </w:t>
      </w:r>
    </w:p>
    <w:p w14:paraId="00000273" w14:textId="77777777" w:rsidR="00663CDF" w:rsidRDefault="00663CDF">
      <w:pPr>
        <w:pStyle w:val="Normal0"/>
        <w:spacing w:line="360" w:lineRule="auto"/>
      </w:pPr>
    </w:p>
    <w:p w14:paraId="00000274" w14:textId="77777777" w:rsidR="00663CDF" w:rsidRDefault="00F71B39">
      <w:pPr>
        <w:pStyle w:val="Normal0"/>
        <w:pBdr>
          <w:top w:val="nil"/>
          <w:left w:val="nil"/>
          <w:bottom w:val="nil"/>
          <w:right w:val="nil"/>
          <w:between w:val="nil"/>
        </w:pBdr>
        <w:spacing w:after="160" w:line="360" w:lineRule="auto"/>
        <w:rPr>
          <w:b/>
          <w:color w:val="000000"/>
        </w:rPr>
      </w:pPr>
      <w:bookmarkStart w:id="37" w:name="_heading=h.yc6yecks0a97" w:colFirst="0" w:colLast="0"/>
      <w:bookmarkEnd w:id="37"/>
      <w:r>
        <w:rPr>
          <w:b/>
          <w:color w:val="000000"/>
        </w:rPr>
        <w:t>Tabla 3.  Datos sobre Ingresos ICLD y Gastos de Funcionamiento del municipio de Turbaco (2016-2023)</w:t>
      </w:r>
    </w:p>
    <w:tbl>
      <w:tblPr>
        <w:tblStyle w:val="a2"/>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079"/>
        <w:gridCol w:w="2189"/>
        <w:gridCol w:w="2320"/>
        <w:gridCol w:w="2240"/>
      </w:tblGrid>
      <w:tr w:rsidR="00663CDF" w14:paraId="68D07901" w14:textId="77777777">
        <w:tc>
          <w:tcPr>
            <w:tcW w:w="2079" w:type="dxa"/>
            <w:vAlign w:val="center"/>
          </w:tcPr>
          <w:p w14:paraId="00000275" w14:textId="77777777" w:rsidR="00663CDF" w:rsidRDefault="00F71B39">
            <w:pPr>
              <w:pStyle w:val="Normal0"/>
              <w:spacing w:line="360" w:lineRule="auto"/>
              <w:rPr>
                <w:b/>
              </w:rPr>
            </w:pPr>
            <w:r>
              <w:rPr>
                <w:b/>
              </w:rPr>
              <w:t>Año</w:t>
            </w:r>
          </w:p>
        </w:tc>
        <w:tc>
          <w:tcPr>
            <w:tcW w:w="2189" w:type="dxa"/>
            <w:vAlign w:val="center"/>
          </w:tcPr>
          <w:p w14:paraId="00000276" w14:textId="77777777" w:rsidR="00663CDF" w:rsidRDefault="00F71B39">
            <w:pPr>
              <w:pStyle w:val="Normal0"/>
              <w:spacing w:line="360" w:lineRule="auto"/>
              <w:rPr>
                <w:b/>
              </w:rPr>
            </w:pPr>
            <w:r>
              <w:rPr>
                <w:b/>
              </w:rPr>
              <w:t>Ingresos ICLD (millones)</w:t>
            </w:r>
          </w:p>
        </w:tc>
        <w:tc>
          <w:tcPr>
            <w:tcW w:w="2320" w:type="dxa"/>
            <w:vAlign w:val="center"/>
          </w:tcPr>
          <w:p w14:paraId="00000277" w14:textId="77777777" w:rsidR="00663CDF" w:rsidRDefault="00F71B39">
            <w:pPr>
              <w:pStyle w:val="Normal0"/>
              <w:spacing w:line="360" w:lineRule="auto"/>
              <w:rPr>
                <w:b/>
              </w:rPr>
            </w:pPr>
            <w:r>
              <w:rPr>
                <w:b/>
              </w:rPr>
              <w:t>Gastos de Funcionamiento (millones)</w:t>
            </w:r>
          </w:p>
        </w:tc>
        <w:tc>
          <w:tcPr>
            <w:tcW w:w="2240" w:type="dxa"/>
            <w:vAlign w:val="center"/>
          </w:tcPr>
          <w:p w14:paraId="00000278" w14:textId="77777777" w:rsidR="00663CDF" w:rsidRDefault="00F71B39">
            <w:pPr>
              <w:pStyle w:val="Normal0"/>
              <w:spacing w:line="360" w:lineRule="auto"/>
              <w:rPr>
                <w:b/>
              </w:rPr>
            </w:pPr>
            <w:r>
              <w:rPr>
                <w:b/>
              </w:rPr>
              <w:t>% Cubrimiento</w:t>
            </w:r>
          </w:p>
        </w:tc>
      </w:tr>
      <w:tr w:rsidR="00663CDF" w14:paraId="0122C0A4" w14:textId="77777777">
        <w:tc>
          <w:tcPr>
            <w:tcW w:w="2079" w:type="dxa"/>
            <w:vAlign w:val="center"/>
          </w:tcPr>
          <w:p w14:paraId="00000279" w14:textId="77777777" w:rsidR="00663CDF" w:rsidRDefault="00F71B39">
            <w:pPr>
              <w:pStyle w:val="Normal0"/>
              <w:spacing w:line="360" w:lineRule="auto"/>
            </w:pPr>
            <w:r>
              <w:t>2016</w:t>
            </w:r>
          </w:p>
        </w:tc>
        <w:tc>
          <w:tcPr>
            <w:tcW w:w="2189" w:type="dxa"/>
            <w:vAlign w:val="center"/>
          </w:tcPr>
          <w:p w14:paraId="0000027A" w14:textId="77777777" w:rsidR="00663CDF" w:rsidRDefault="00F71B39">
            <w:pPr>
              <w:pStyle w:val="Normal0"/>
              <w:spacing w:line="360" w:lineRule="auto"/>
            </w:pPr>
            <w:r>
              <w:t>9,671</w:t>
            </w:r>
          </w:p>
        </w:tc>
        <w:tc>
          <w:tcPr>
            <w:tcW w:w="2320" w:type="dxa"/>
            <w:vAlign w:val="center"/>
          </w:tcPr>
          <w:p w14:paraId="0000027B" w14:textId="77777777" w:rsidR="00663CDF" w:rsidRDefault="00F71B39">
            <w:pPr>
              <w:pStyle w:val="Normal0"/>
              <w:spacing w:line="360" w:lineRule="auto"/>
            </w:pPr>
            <w:r>
              <w:t>7,060</w:t>
            </w:r>
          </w:p>
        </w:tc>
        <w:tc>
          <w:tcPr>
            <w:tcW w:w="2240" w:type="dxa"/>
            <w:vAlign w:val="center"/>
          </w:tcPr>
          <w:p w14:paraId="0000027C" w14:textId="77777777" w:rsidR="00663CDF" w:rsidRDefault="00F71B39">
            <w:pPr>
              <w:pStyle w:val="Normal0"/>
              <w:spacing w:line="360" w:lineRule="auto"/>
            </w:pPr>
            <w:r>
              <w:t>80%</w:t>
            </w:r>
          </w:p>
        </w:tc>
      </w:tr>
      <w:tr w:rsidR="00663CDF" w14:paraId="279D4A65" w14:textId="77777777">
        <w:tc>
          <w:tcPr>
            <w:tcW w:w="2079" w:type="dxa"/>
            <w:vAlign w:val="center"/>
          </w:tcPr>
          <w:p w14:paraId="0000027D" w14:textId="77777777" w:rsidR="00663CDF" w:rsidRDefault="00F71B39">
            <w:pPr>
              <w:pStyle w:val="Normal0"/>
              <w:spacing w:line="360" w:lineRule="auto"/>
            </w:pPr>
            <w:r>
              <w:t>2017</w:t>
            </w:r>
          </w:p>
        </w:tc>
        <w:tc>
          <w:tcPr>
            <w:tcW w:w="2189" w:type="dxa"/>
            <w:vAlign w:val="center"/>
          </w:tcPr>
          <w:p w14:paraId="0000027E" w14:textId="77777777" w:rsidR="00663CDF" w:rsidRDefault="00F71B39">
            <w:pPr>
              <w:pStyle w:val="Normal0"/>
              <w:spacing w:line="360" w:lineRule="auto"/>
            </w:pPr>
            <w:r>
              <w:t>12,845</w:t>
            </w:r>
          </w:p>
        </w:tc>
        <w:tc>
          <w:tcPr>
            <w:tcW w:w="2320" w:type="dxa"/>
            <w:vAlign w:val="center"/>
          </w:tcPr>
          <w:p w14:paraId="0000027F" w14:textId="77777777" w:rsidR="00663CDF" w:rsidRDefault="00F71B39">
            <w:pPr>
              <w:pStyle w:val="Normal0"/>
              <w:spacing w:line="360" w:lineRule="auto"/>
            </w:pPr>
            <w:r>
              <w:t>9,933</w:t>
            </w:r>
          </w:p>
        </w:tc>
        <w:tc>
          <w:tcPr>
            <w:tcW w:w="2240" w:type="dxa"/>
            <w:vAlign w:val="center"/>
          </w:tcPr>
          <w:p w14:paraId="00000280" w14:textId="77777777" w:rsidR="00663CDF" w:rsidRDefault="00F71B39">
            <w:pPr>
              <w:pStyle w:val="Normal0"/>
              <w:spacing w:line="360" w:lineRule="auto"/>
            </w:pPr>
            <w:r>
              <w:t>74%</w:t>
            </w:r>
          </w:p>
        </w:tc>
      </w:tr>
      <w:tr w:rsidR="00663CDF" w14:paraId="5314A3C3" w14:textId="77777777">
        <w:tc>
          <w:tcPr>
            <w:tcW w:w="2079" w:type="dxa"/>
            <w:vAlign w:val="center"/>
          </w:tcPr>
          <w:p w14:paraId="00000281" w14:textId="77777777" w:rsidR="00663CDF" w:rsidRDefault="00F71B39">
            <w:pPr>
              <w:pStyle w:val="Normal0"/>
              <w:spacing w:line="360" w:lineRule="auto"/>
            </w:pPr>
            <w:r>
              <w:t>2018</w:t>
            </w:r>
          </w:p>
        </w:tc>
        <w:tc>
          <w:tcPr>
            <w:tcW w:w="2189" w:type="dxa"/>
            <w:vAlign w:val="center"/>
          </w:tcPr>
          <w:p w14:paraId="00000282" w14:textId="77777777" w:rsidR="00663CDF" w:rsidRDefault="00F71B39">
            <w:pPr>
              <w:pStyle w:val="Normal0"/>
              <w:spacing w:line="360" w:lineRule="auto"/>
            </w:pPr>
            <w:r>
              <w:t>13,594</w:t>
            </w:r>
          </w:p>
        </w:tc>
        <w:tc>
          <w:tcPr>
            <w:tcW w:w="2320" w:type="dxa"/>
            <w:vAlign w:val="center"/>
          </w:tcPr>
          <w:p w14:paraId="00000283" w14:textId="77777777" w:rsidR="00663CDF" w:rsidRDefault="00F71B39">
            <w:pPr>
              <w:pStyle w:val="Normal0"/>
              <w:spacing w:line="360" w:lineRule="auto"/>
            </w:pPr>
            <w:r>
              <w:t>11,356</w:t>
            </w:r>
          </w:p>
        </w:tc>
        <w:tc>
          <w:tcPr>
            <w:tcW w:w="2240" w:type="dxa"/>
            <w:vAlign w:val="center"/>
          </w:tcPr>
          <w:p w14:paraId="00000284" w14:textId="77777777" w:rsidR="00663CDF" w:rsidRDefault="00F71B39">
            <w:pPr>
              <w:pStyle w:val="Normal0"/>
              <w:spacing w:line="360" w:lineRule="auto"/>
            </w:pPr>
            <w:r>
              <w:t>78%</w:t>
            </w:r>
          </w:p>
        </w:tc>
      </w:tr>
      <w:tr w:rsidR="00663CDF" w14:paraId="4D361E13" w14:textId="77777777">
        <w:tc>
          <w:tcPr>
            <w:tcW w:w="2079" w:type="dxa"/>
            <w:vAlign w:val="center"/>
          </w:tcPr>
          <w:p w14:paraId="00000285" w14:textId="77777777" w:rsidR="00663CDF" w:rsidRDefault="00F71B39">
            <w:pPr>
              <w:pStyle w:val="Normal0"/>
              <w:spacing w:line="360" w:lineRule="auto"/>
            </w:pPr>
            <w:r>
              <w:t>2019</w:t>
            </w:r>
          </w:p>
        </w:tc>
        <w:tc>
          <w:tcPr>
            <w:tcW w:w="2189" w:type="dxa"/>
            <w:vAlign w:val="center"/>
          </w:tcPr>
          <w:p w14:paraId="00000286" w14:textId="77777777" w:rsidR="00663CDF" w:rsidRDefault="00F71B39">
            <w:pPr>
              <w:pStyle w:val="Normal0"/>
              <w:spacing w:line="360" w:lineRule="auto"/>
            </w:pPr>
            <w:r>
              <w:t>18,647</w:t>
            </w:r>
          </w:p>
        </w:tc>
        <w:tc>
          <w:tcPr>
            <w:tcW w:w="2320" w:type="dxa"/>
            <w:vAlign w:val="center"/>
          </w:tcPr>
          <w:p w14:paraId="00000287" w14:textId="77777777" w:rsidR="00663CDF" w:rsidRDefault="00F71B39">
            <w:pPr>
              <w:pStyle w:val="Normal0"/>
              <w:spacing w:line="360" w:lineRule="auto"/>
            </w:pPr>
            <w:r>
              <w:t>13,125</w:t>
            </w:r>
          </w:p>
        </w:tc>
        <w:tc>
          <w:tcPr>
            <w:tcW w:w="2240" w:type="dxa"/>
            <w:vAlign w:val="center"/>
          </w:tcPr>
          <w:p w14:paraId="00000288" w14:textId="77777777" w:rsidR="00663CDF" w:rsidRDefault="00F71B39">
            <w:pPr>
              <w:pStyle w:val="Normal0"/>
              <w:spacing w:line="360" w:lineRule="auto"/>
            </w:pPr>
            <w:r>
              <w:t>79%</w:t>
            </w:r>
          </w:p>
        </w:tc>
      </w:tr>
      <w:tr w:rsidR="00663CDF" w14:paraId="7A192BF3" w14:textId="77777777">
        <w:tc>
          <w:tcPr>
            <w:tcW w:w="2079" w:type="dxa"/>
            <w:vAlign w:val="center"/>
          </w:tcPr>
          <w:p w14:paraId="00000289" w14:textId="77777777" w:rsidR="00663CDF" w:rsidRDefault="00F71B39">
            <w:pPr>
              <w:pStyle w:val="Normal0"/>
              <w:spacing w:line="360" w:lineRule="auto"/>
            </w:pPr>
            <w:r>
              <w:t>2020</w:t>
            </w:r>
          </w:p>
        </w:tc>
        <w:tc>
          <w:tcPr>
            <w:tcW w:w="2189" w:type="dxa"/>
            <w:vAlign w:val="center"/>
          </w:tcPr>
          <w:p w14:paraId="0000028A" w14:textId="77777777" w:rsidR="00663CDF" w:rsidRDefault="00F71B39">
            <w:pPr>
              <w:pStyle w:val="Normal0"/>
              <w:spacing w:line="360" w:lineRule="auto"/>
            </w:pPr>
            <w:r>
              <w:t>19,865</w:t>
            </w:r>
          </w:p>
        </w:tc>
        <w:tc>
          <w:tcPr>
            <w:tcW w:w="2320" w:type="dxa"/>
            <w:vAlign w:val="center"/>
          </w:tcPr>
          <w:p w14:paraId="0000028B" w14:textId="77777777" w:rsidR="00663CDF" w:rsidRDefault="00F71B39">
            <w:pPr>
              <w:pStyle w:val="Normal0"/>
              <w:spacing w:line="360" w:lineRule="auto"/>
            </w:pPr>
            <w:r>
              <w:t>12,191</w:t>
            </w:r>
          </w:p>
        </w:tc>
        <w:tc>
          <w:tcPr>
            <w:tcW w:w="2240" w:type="dxa"/>
            <w:vAlign w:val="center"/>
          </w:tcPr>
          <w:p w14:paraId="0000028C" w14:textId="77777777" w:rsidR="00663CDF" w:rsidRDefault="00F71B39">
            <w:pPr>
              <w:pStyle w:val="Normal0"/>
              <w:spacing w:line="360" w:lineRule="auto"/>
            </w:pPr>
            <w:r>
              <w:t>73%</w:t>
            </w:r>
          </w:p>
        </w:tc>
      </w:tr>
      <w:tr w:rsidR="00663CDF" w14:paraId="23E61D45" w14:textId="77777777">
        <w:tc>
          <w:tcPr>
            <w:tcW w:w="2079" w:type="dxa"/>
            <w:vAlign w:val="center"/>
          </w:tcPr>
          <w:p w14:paraId="0000028D" w14:textId="77777777" w:rsidR="00663CDF" w:rsidRDefault="00F71B39">
            <w:pPr>
              <w:pStyle w:val="Normal0"/>
              <w:spacing w:line="360" w:lineRule="auto"/>
            </w:pPr>
            <w:r>
              <w:t>2021</w:t>
            </w:r>
          </w:p>
        </w:tc>
        <w:tc>
          <w:tcPr>
            <w:tcW w:w="2189" w:type="dxa"/>
            <w:vAlign w:val="center"/>
          </w:tcPr>
          <w:p w14:paraId="0000028E" w14:textId="77777777" w:rsidR="00663CDF" w:rsidRDefault="00F71B39">
            <w:pPr>
              <w:pStyle w:val="Normal0"/>
              <w:spacing w:line="360" w:lineRule="auto"/>
            </w:pPr>
            <w:r>
              <w:t>24,887</w:t>
            </w:r>
          </w:p>
        </w:tc>
        <w:tc>
          <w:tcPr>
            <w:tcW w:w="2320" w:type="dxa"/>
            <w:vAlign w:val="center"/>
          </w:tcPr>
          <w:p w14:paraId="0000028F" w14:textId="77777777" w:rsidR="00663CDF" w:rsidRDefault="00F71B39">
            <w:pPr>
              <w:pStyle w:val="Normal0"/>
              <w:spacing w:line="360" w:lineRule="auto"/>
            </w:pPr>
            <w:r>
              <w:t>15,212</w:t>
            </w:r>
          </w:p>
        </w:tc>
        <w:tc>
          <w:tcPr>
            <w:tcW w:w="2240" w:type="dxa"/>
            <w:vAlign w:val="center"/>
          </w:tcPr>
          <w:p w14:paraId="00000290" w14:textId="77777777" w:rsidR="00663CDF" w:rsidRDefault="00F71B39">
            <w:pPr>
              <w:pStyle w:val="Normal0"/>
              <w:spacing w:line="360" w:lineRule="auto"/>
            </w:pPr>
            <w:r>
              <w:t>61%</w:t>
            </w:r>
          </w:p>
        </w:tc>
      </w:tr>
      <w:tr w:rsidR="00663CDF" w14:paraId="6985076C" w14:textId="77777777">
        <w:tc>
          <w:tcPr>
            <w:tcW w:w="2079" w:type="dxa"/>
            <w:vAlign w:val="center"/>
          </w:tcPr>
          <w:p w14:paraId="00000291" w14:textId="77777777" w:rsidR="00663CDF" w:rsidRDefault="00F71B39">
            <w:pPr>
              <w:pStyle w:val="Normal0"/>
              <w:spacing w:line="360" w:lineRule="auto"/>
            </w:pPr>
            <w:r>
              <w:t>2022</w:t>
            </w:r>
          </w:p>
        </w:tc>
        <w:tc>
          <w:tcPr>
            <w:tcW w:w="2189" w:type="dxa"/>
            <w:vAlign w:val="center"/>
          </w:tcPr>
          <w:p w14:paraId="00000292" w14:textId="77777777" w:rsidR="00663CDF" w:rsidRDefault="00F71B39">
            <w:pPr>
              <w:pStyle w:val="Normal0"/>
              <w:spacing w:line="360" w:lineRule="auto"/>
            </w:pPr>
            <w:r>
              <w:t>36,701</w:t>
            </w:r>
          </w:p>
        </w:tc>
        <w:tc>
          <w:tcPr>
            <w:tcW w:w="2320" w:type="dxa"/>
            <w:vAlign w:val="center"/>
          </w:tcPr>
          <w:p w14:paraId="00000293" w14:textId="77777777" w:rsidR="00663CDF" w:rsidRDefault="00F71B39">
            <w:pPr>
              <w:pStyle w:val="Normal0"/>
              <w:spacing w:line="360" w:lineRule="auto"/>
            </w:pPr>
            <w:r>
              <w:t>16,532</w:t>
            </w:r>
          </w:p>
        </w:tc>
        <w:tc>
          <w:tcPr>
            <w:tcW w:w="2240" w:type="dxa"/>
            <w:vAlign w:val="center"/>
          </w:tcPr>
          <w:p w14:paraId="00000294" w14:textId="77777777" w:rsidR="00663CDF" w:rsidRDefault="00F71B39">
            <w:pPr>
              <w:pStyle w:val="Normal0"/>
              <w:spacing w:line="360" w:lineRule="auto"/>
            </w:pPr>
            <w:r>
              <w:t>73%</w:t>
            </w:r>
          </w:p>
        </w:tc>
      </w:tr>
      <w:tr w:rsidR="00663CDF" w14:paraId="5983A46D" w14:textId="77777777">
        <w:tc>
          <w:tcPr>
            <w:tcW w:w="2079" w:type="dxa"/>
            <w:vAlign w:val="center"/>
          </w:tcPr>
          <w:p w14:paraId="00000295" w14:textId="77777777" w:rsidR="00663CDF" w:rsidRDefault="00F71B39">
            <w:pPr>
              <w:pStyle w:val="Normal0"/>
              <w:spacing w:line="360" w:lineRule="auto"/>
            </w:pPr>
            <w:r>
              <w:t>2023</w:t>
            </w:r>
          </w:p>
        </w:tc>
        <w:tc>
          <w:tcPr>
            <w:tcW w:w="2189" w:type="dxa"/>
            <w:vAlign w:val="center"/>
          </w:tcPr>
          <w:p w14:paraId="00000296" w14:textId="77777777" w:rsidR="00663CDF" w:rsidRDefault="00F71B39">
            <w:pPr>
              <w:pStyle w:val="Normal0"/>
              <w:spacing w:line="360" w:lineRule="auto"/>
            </w:pPr>
            <w:r>
              <w:t>40,713</w:t>
            </w:r>
          </w:p>
        </w:tc>
        <w:tc>
          <w:tcPr>
            <w:tcW w:w="2320" w:type="dxa"/>
            <w:vAlign w:val="center"/>
          </w:tcPr>
          <w:p w14:paraId="00000297" w14:textId="77777777" w:rsidR="00663CDF" w:rsidRDefault="00F71B39">
            <w:pPr>
              <w:pStyle w:val="Normal0"/>
              <w:spacing w:line="360" w:lineRule="auto"/>
            </w:pPr>
            <w:r>
              <w:t>22,663</w:t>
            </w:r>
          </w:p>
        </w:tc>
        <w:tc>
          <w:tcPr>
            <w:tcW w:w="2240" w:type="dxa"/>
            <w:vAlign w:val="center"/>
          </w:tcPr>
          <w:p w14:paraId="00000298" w14:textId="77777777" w:rsidR="00663CDF" w:rsidRDefault="00F71B39">
            <w:pPr>
              <w:pStyle w:val="Normal0"/>
              <w:spacing w:line="360" w:lineRule="auto"/>
            </w:pPr>
            <w:r>
              <w:t>75%</w:t>
            </w:r>
          </w:p>
        </w:tc>
      </w:tr>
    </w:tbl>
    <w:p w14:paraId="00000299" w14:textId="77777777" w:rsidR="00663CDF" w:rsidRDefault="00F71B39">
      <w:pPr>
        <w:pStyle w:val="Normal0"/>
        <w:spacing w:line="360" w:lineRule="auto"/>
        <w:rPr>
          <w:b/>
        </w:rPr>
      </w:pPr>
      <w:r>
        <w:rPr>
          <w:b/>
        </w:rPr>
        <w:t>Fuente: Datos proporcionados por el municipio de Turbaco y Terridata. Elaboración propia.</w:t>
      </w:r>
    </w:p>
    <w:p w14:paraId="0000029A" w14:textId="77777777" w:rsidR="00663CDF" w:rsidRDefault="00663CDF">
      <w:pPr>
        <w:pStyle w:val="Normal0"/>
        <w:spacing w:line="360" w:lineRule="auto"/>
      </w:pPr>
    </w:p>
    <w:p w14:paraId="0000029B" w14:textId="77777777" w:rsidR="00663CDF" w:rsidRDefault="00F71B39">
      <w:pPr>
        <w:pStyle w:val="Normal0"/>
        <w:spacing w:line="360" w:lineRule="auto"/>
      </w:pPr>
      <w:bookmarkStart w:id="38" w:name="_heading=h.konaqbzcn2i0" w:colFirst="0" w:colLast="0"/>
      <w:bookmarkEnd w:id="38"/>
      <w:r>
        <w:t>Como se observa en la tabla, el municipio de Turbaco ha conservado un porcentaje de cubrimiento de los gastos de funcionamiento que oscila entre el 61 % y el 80 % durante los años observados. Esto indica que, si bien dichos gastos han aumentado en algunos periodos, el municipio ha logrado manejarlos dentro de los límites determinados por la Ley 617 de 2000, lo que refleja disciplina fiscal en términos generales.</w:t>
      </w:r>
    </w:p>
    <w:p w14:paraId="0000029C" w14:textId="77777777" w:rsidR="00663CDF" w:rsidRDefault="00663CDF">
      <w:pPr>
        <w:pStyle w:val="Normal0"/>
        <w:spacing w:line="360" w:lineRule="auto"/>
      </w:pPr>
    </w:p>
    <w:p w14:paraId="0000029D" w14:textId="77777777" w:rsidR="00663CDF" w:rsidRDefault="00F71B39">
      <w:pPr>
        <w:pStyle w:val="Normal0"/>
        <w:spacing w:line="360" w:lineRule="auto"/>
      </w:pPr>
      <w:r>
        <w:lastRenderedPageBreak/>
        <w:t>En 2016 y 2017, el porcentaje de cumplimiento se sostuvo por encima del 70 %, lo cual se considera una señal positiva de sostenibilidad financiera. No obstante, en 2021 este porcentaje descendió al 61 %, lo que puede estar asociado al crecimiento poblacional acelerado y a la expansión del gasto burocrático. Según los datos de categorización municipal, la población pasó de 63.450 habitantes en 2016 a 114.716 en 2023, lo cual representa un incremento del 80,7 % en tan solo siete años, es posible explicar este incremento ante fenómenos como: la llegada de migrantes venezolanos, víctimas del conflicto armado y el crecimiento urbanístico ya reseñado.</w:t>
      </w:r>
    </w:p>
    <w:p w14:paraId="0000029E" w14:textId="77777777" w:rsidR="00663CDF" w:rsidRDefault="00F71B39">
      <w:pPr>
        <w:pStyle w:val="Normal0"/>
        <w:spacing w:line="360" w:lineRule="auto"/>
        <w:rPr>
          <w:b/>
        </w:rPr>
      </w:pPr>
      <w:r>
        <w:t>A la par, los ingresos propios pasaron de $9.671 millones en 2016 a más de $15.775 millones en 2023, pero esta variación del 63,1 % fue inferior al crecimiento poblacional, lo que evidencia una presión adicional sobre las finanzas del municipio</w:t>
      </w:r>
      <w:r>
        <w:rPr>
          <w:b/>
        </w:rPr>
        <w:t xml:space="preserve">. </w:t>
      </w:r>
    </w:p>
    <w:p w14:paraId="0000029F" w14:textId="77777777" w:rsidR="00663CDF" w:rsidRDefault="00663CDF">
      <w:pPr>
        <w:pStyle w:val="Normal0"/>
        <w:spacing w:line="360" w:lineRule="auto"/>
        <w:rPr>
          <w:b/>
        </w:rPr>
      </w:pPr>
    </w:p>
    <w:p w14:paraId="000002A0" w14:textId="77777777" w:rsidR="00663CDF" w:rsidRDefault="00F71B39">
      <w:pPr>
        <w:pStyle w:val="Normal0"/>
        <w:pBdr>
          <w:top w:val="nil"/>
          <w:left w:val="nil"/>
          <w:bottom w:val="nil"/>
          <w:right w:val="nil"/>
          <w:between w:val="nil"/>
        </w:pBdr>
        <w:spacing w:after="160" w:line="360" w:lineRule="auto"/>
        <w:rPr>
          <w:b/>
          <w:color w:val="000000"/>
        </w:rPr>
      </w:pPr>
      <w:bookmarkStart w:id="39" w:name="_heading=h.gaufgu1xthae" w:colFirst="0" w:colLast="0"/>
      <w:bookmarkEnd w:id="39"/>
      <w:r>
        <w:rPr>
          <w:b/>
          <w:color w:val="000000"/>
        </w:rPr>
        <w:t>Tabla 4. Análisis comparativo IDF 2016-2023 Turbaco Bolívar.</w:t>
      </w:r>
    </w:p>
    <w:tbl>
      <w:tblPr>
        <w:tblStyle w:val="a3"/>
        <w:tblW w:w="8828" w:type="dxa"/>
        <w:tblLayout w:type="fixed"/>
        <w:tblLook w:val="0400" w:firstRow="0" w:lastRow="0" w:firstColumn="0" w:lastColumn="0" w:noHBand="0" w:noVBand="1"/>
      </w:tblPr>
      <w:tblGrid>
        <w:gridCol w:w="705"/>
        <w:gridCol w:w="980"/>
        <w:gridCol w:w="1432"/>
        <w:gridCol w:w="1073"/>
        <w:gridCol w:w="948"/>
        <w:gridCol w:w="1308"/>
        <w:gridCol w:w="1361"/>
        <w:gridCol w:w="1021"/>
      </w:tblGrid>
      <w:tr w:rsidR="00663CDF" w14:paraId="7F4F3846"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1" w14:textId="77777777" w:rsidR="00663CDF" w:rsidRDefault="00F71B39">
            <w:pPr>
              <w:pStyle w:val="Normal0"/>
              <w:spacing w:line="360" w:lineRule="auto"/>
              <w:jc w:val="center"/>
              <w:rPr>
                <w:b/>
                <w:sz w:val="14"/>
                <w:szCs w:val="14"/>
              </w:rPr>
            </w:pPr>
            <w:r>
              <w:rPr>
                <w:b/>
                <w:sz w:val="14"/>
                <w:szCs w:val="14"/>
              </w:rPr>
              <w:t>AÑO</w:t>
            </w:r>
          </w:p>
        </w:tc>
        <w:tc>
          <w:tcPr>
            <w:tcW w:w="9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2" w14:textId="77777777" w:rsidR="00663CDF" w:rsidRDefault="00F71B39">
            <w:pPr>
              <w:pStyle w:val="Normal0"/>
              <w:spacing w:line="360" w:lineRule="auto"/>
              <w:jc w:val="center"/>
              <w:rPr>
                <w:b/>
                <w:sz w:val="14"/>
                <w:szCs w:val="14"/>
              </w:rPr>
            </w:pPr>
            <w:r>
              <w:rPr>
                <w:b/>
                <w:sz w:val="14"/>
                <w:szCs w:val="14"/>
              </w:rPr>
              <w:t>CATEGORIA</w:t>
            </w:r>
          </w:p>
        </w:tc>
        <w:tc>
          <w:tcPr>
            <w:tcW w:w="1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3" w14:textId="77777777" w:rsidR="00663CDF" w:rsidRDefault="00F71B39">
            <w:pPr>
              <w:pStyle w:val="Normal0"/>
              <w:spacing w:line="360" w:lineRule="auto"/>
              <w:jc w:val="center"/>
              <w:rPr>
                <w:b/>
                <w:sz w:val="14"/>
                <w:szCs w:val="14"/>
              </w:rPr>
            </w:pPr>
            <w:r>
              <w:rPr>
                <w:b/>
                <w:sz w:val="14"/>
                <w:szCs w:val="14"/>
              </w:rPr>
              <w:t>POBLACION</w:t>
            </w:r>
          </w:p>
        </w:tc>
        <w:tc>
          <w:tcPr>
            <w:tcW w:w="10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4" w14:textId="77777777" w:rsidR="00663CDF" w:rsidRDefault="00F71B39">
            <w:pPr>
              <w:pStyle w:val="Normal0"/>
              <w:spacing w:line="360" w:lineRule="auto"/>
              <w:jc w:val="center"/>
              <w:rPr>
                <w:b/>
                <w:sz w:val="14"/>
                <w:szCs w:val="14"/>
              </w:rPr>
            </w:pPr>
            <w:r>
              <w:rPr>
                <w:b/>
                <w:sz w:val="14"/>
                <w:szCs w:val="14"/>
              </w:rPr>
              <w:t>VARIACION POBLACION</w:t>
            </w:r>
          </w:p>
        </w:tc>
        <w:tc>
          <w:tcPr>
            <w:tcW w:w="9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5" w14:textId="77777777" w:rsidR="00663CDF" w:rsidRDefault="00F71B39">
            <w:pPr>
              <w:pStyle w:val="Normal0"/>
              <w:spacing w:line="360" w:lineRule="auto"/>
              <w:jc w:val="center"/>
              <w:rPr>
                <w:b/>
                <w:sz w:val="14"/>
                <w:szCs w:val="14"/>
              </w:rPr>
            </w:pPr>
            <w:r>
              <w:rPr>
                <w:b/>
                <w:sz w:val="14"/>
                <w:szCs w:val="14"/>
              </w:rPr>
              <w:t>% VARIACION</w:t>
            </w:r>
          </w:p>
        </w:tc>
        <w:tc>
          <w:tcPr>
            <w:tcW w:w="13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6" w14:textId="77777777" w:rsidR="00663CDF" w:rsidRDefault="00F71B39">
            <w:pPr>
              <w:pStyle w:val="Normal0"/>
              <w:spacing w:line="360" w:lineRule="auto"/>
              <w:jc w:val="center"/>
              <w:rPr>
                <w:b/>
                <w:sz w:val="14"/>
                <w:szCs w:val="14"/>
              </w:rPr>
            </w:pPr>
            <w:r>
              <w:rPr>
                <w:b/>
                <w:sz w:val="14"/>
                <w:szCs w:val="14"/>
              </w:rPr>
              <w:t>RECURSOS PROPIOS</w:t>
            </w:r>
          </w:p>
        </w:tc>
        <w:tc>
          <w:tcPr>
            <w:tcW w:w="13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7" w14:textId="77777777" w:rsidR="00663CDF" w:rsidRDefault="00F71B39">
            <w:pPr>
              <w:pStyle w:val="Normal0"/>
              <w:spacing w:line="360" w:lineRule="auto"/>
              <w:jc w:val="center"/>
              <w:rPr>
                <w:b/>
                <w:sz w:val="14"/>
                <w:szCs w:val="14"/>
              </w:rPr>
            </w:pPr>
            <w:r>
              <w:rPr>
                <w:b/>
                <w:sz w:val="14"/>
                <w:szCs w:val="14"/>
              </w:rPr>
              <w:t>VARIACION INGRESO</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8" w14:textId="77777777" w:rsidR="00663CDF" w:rsidRDefault="00F71B39">
            <w:pPr>
              <w:pStyle w:val="Normal0"/>
              <w:spacing w:line="360" w:lineRule="auto"/>
              <w:jc w:val="center"/>
              <w:rPr>
                <w:b/>
                <w:sz w:val="14"/>
                <w:szCs w:val="14"/>
              </w:rPr>
            </w:pPr>
            <w:r>
              <w:rPr>
                <w:b/>
                <w:sz w:val="14"/>
                <w:szCs w:val="14"/>
              </w:rPr>
              <w:t>% VARIACION2</w:t>
            </w:r>
          </w:p>
        </w:tc>
      </w:tr>
      <w:tr w:rsidR="00663CDF" w14:paraId="1A2BC6A8"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A9" w14:textId="77777777" w:rsidR="00663CDF" w:rsidRDefault="00F71B39">
            <w:pPr>
              <w:pStyle w:val="Normal0"/>
              <w:spacing w:line="360" w:lineRule="auto"/>
              <w:jc w:val="center"/>
              <w:rPr>
                <w:sz w:val="14"/>
                <w:szCs w:val="14"/>
              </w:rPr>
            </w:pPr>
            <w:r>
              <w:rPr>
                <w:sz w:val="14"/>
                <w:szCs w:val="14"/>
              </w:rPr>
              <w:t>2016</w:t>
            </w:r>
          </w:p>
        </w:tc>
        <w:tc>
          <w:tcPr>
            <w:tcW w:w="980" w:type="dxa"/>
            <w:tcBorders>
              <w:top w:val="nil"/>
              <w:left w:val="nil"/>
              <w:bottom w:val="single" w:sz="4" w:space="0" w:color="000000"/>
              <w:right w:val="single" w:sz="4" w:space="0" w:color="000000"/>
            </w:tcBorders>
            <w:shd w:val="clear" w:color="auto" w:fill="auto"/>
            <w:vAlign w:val="center"/>
          </w:tcPr>
          <w:p w14:paraId="000002AA" w14:textId="77777777" w:rsidR="00663CDF" w:rsidRDefault="00F71B39">
            <w:pPr>
              <w:pStyle w:val="Normal0"/>
              <w:spacing w:line="360" w:lineRule="auto"/>
              <w:jc w:val="center"/>
              <w:rPr>
                <w:sz w:val="14"/>
                <w:szCs w:val="14"/>
              </w:rPr>
            </w:pPr>
            <w:r>
              <w:rPr>
                <w:sz w:val="14"/>
                <w:szCs w:val="14"/>
              </w:rPr>
              <w:t>5</w:t>
            </w:r>
          </w:p>
        </w:tc>
        <w:tc>
          <w:tcPr>
            <w:tcW w:w="1432" w:type="dxa"/>
            <w:tcBorders>
              <w:top w:val="nil"/>
              <w:left w:val="nil"/>
              <w:bottom w:val="single" w:sz="4" w:space="0" w:color="000000"/>
              <w:right w:val="single" w:sz="4" w:space="0" w:color="000000"/>
            </w:tcBorders>
            <w:shd w:val="clear" w:color="auto" w:fill="auto"/>
            <w:vAlign w:val="center"/>
          </w:tcPr>
          <w:p w14:paraId="000002AB" w14:textId="77777777" w:rsidR="00663CDF" w:rsidRDefault="00F71B39">
            <w:pPr>
              <w:pStyle w:val="Normal0"/>
              <w:spacing w:line="360" w:lineRule="auto"/>
              <w:jc w:val="center"/>
              <w:rPr>
                <w:sz w:val="14"/>
                <w:szCs w:val="14"/>
              </w:rPr>
            </w:pPr>
            <w:r>
              <w:rPr>
                <w:sz w:val="14"/>
                <w:szCs w:val="14"/>
              </w:rPr>
              <w:t>63450</w:t>
            </w:r>
          </w:p>
        </w:tc>
        <w:tc>
          <w:tcPr>
            <w:tcW w:w="1073" w:type="dxa"/>
            <w:tcBorders>
              <w:top w:val="nil"/>
              <w:left w:val="nil"/>
              <w:bottom w:val="single" w:sz="4" w:space="0" w:color="000000"/>
              <w:right w:val="single" w:sz="4" w:space="0" w:color="000000"/>
            </w:tcBorders>
            <w:shd w:val="clear" w:color="auto" w:fill="auto"/>
            <w:vAlign w:val="center"/>
          </w:tcPr>
          <w:p w14:paraId="000002AC" w14:textId="77777777" w:rsidR="00663CDF" w:rsidRDefault="00663CDF">
            <w:pPr>
              <w:pStyle w:val="Normal0"/>
              <w:spacing w:line="360" w:lineRule="auto"/>
              <w:jc w:val="center"/>
              <w:rPr>
                <w:sz w:val="14"/>
                <w:szCs w:val="14"/>
              </w:rPr>
            </w:pPr>
          </w:p>
        </w:tc>
        <w:tc>
          <w:tcPr>
            <w:tcW w:w="948" w:type="dxa"/>
            <w:tcBorders>
              <w:top w:val="nil"/>
              <w:left w:val="nil"/>
              <w:bottom w:val="single" w:sz="4" w:space="0" w:color="000000"/>
              <w:right w:val="single" w:sz="4" w:space="0" w:color="000000"/>
            </w:tcBorders>
            <w:shd w:val="clear" w:color="auto" w:fill="auto"/>
            <w:vAlign w:val="center"/>
          </w:tcPr>
          <w:p w14:paraId="000002AD" w14:textId="77777777" w:rsidR="00663CDF" w:rsidRDefault="00663CDF">
            <w:pPr>
              <w:pStyle w:val="Normal0"/>
              <w:spacing w:line="360" w:lineRule="auto"/>
              <w:jc w:val="center"/>
              <w:rPr>
                <w:sz w:val="14"/>
                <w:szCs w:val="14"/>
              </w:rPr>
            </w:pPr>
          </w:p>
        </w:tc>
        <w:tc>
          <w:tcPr>
            <w:tcW w:w="1308" w:type="dxa"/>
            <w:tcBorders>
              <w:top w:val="nil"/>
              <w:left w:val="nil"/>
              <w:bottom w:val="single" w:sz="4" w:space="0" w:color="000000"/>
              <w:right w:val="single" w:sz="4" w:space="0" w:color="000000"/>
            </w:tcBorders>
            <w:shd w:val="clear" w:color="auto" w:fill="auto"/>
            <w:vAlign w:val="center"/>
          </w:tcPr>
          <w:p w14:paraId="000002AE" w14:textId="77777777" w:rsidR="00663CDF" w:rsidRDefault="00F71B39">
            <w:pPr>
              <w:pStyle w:val="Normal0"/>
              <w:spacing w:line="360" w:lineRule="auto"/>
              <w:jc w:val="center"/>
              <w:rPr>
                <w:sz w:val="14"/>
                <w:szCs w:val="14"/>
              </w:rPr>
            </w:pPr>
            <w:r>
              <w:rPr>
                <w:sz w:val="14"/>
                <w:szCs w:val="14"/>
              </w:rPr>
              <w:t>9.671.362.000,00</w:t>
            </w:r>
          </w:p>
        </w:tc>
        <w:tc>
          <w:tcPr>
            <w:tcW w:w="1361" w:type="dxa"/>
            <w:tcBorders>
              <w:top w:val="nil"/>
              <w:left w:val="nil"/>
              <w:bottom w:val="single" w:sz="4" w:space="0" w:color="000000"/>
              <w:right w:val="single" w:sz="4" w:space="0" w:color="000000"/>
            </w:tcBorders>
            <w:shd w:val="clear" w:color="auto" w:fill="auto"/>
            <w:vAlign w:val="center"/>
          </w:tcPr>
          <w:p w14:paraId="000002AF" w14:textId="77777777" w:rsidR="00663CDF" w:rsidRDefault="00F71B39">
            <w:pPr>
              <w:pStyle w:val="Normal0"/>
              <w:spacing w:line="360" w:lineRule="auto"/>
              <w:jc w:val="center"/>
              <w:rPr>
                <w:sz w:val="14"/>
                <w:szCs w:val="14"/>
              </w:rPr>
            </w:pPr>
            <w:r>
              <w:rPr>
                <w:sz w:val="14"/>
                <w:szCs w:val="14"/>
              </w:rPr>
              <w:t>0</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B0" w14:textId="77777777" w:rsidR="00663CDF" w:rsidRDefault="00F71B39">
            <w:pPr>
              <w:pStyle w:val="Normal0"/>
              <w:spacing w:line="360" w:lineRule="auto"/>
              <w:jc w:val="center"/>
              <w:rPr>
                <w:sz w:val="14"/>
                <w:szCs w:val="14"/>
              </w:rPr>
            </w:pPr>
            <w:r>
              <w:rPr>
                <w:sz w:val="14"/>
                <w:szCs w:val="14"/>
              </w:rPr>
              <w:t>0,00%</w:t>
            </w:r>
          </w:p>
        </w:tc>
      </w:tr>
      <w:tr w:rsidR="00663CDF" w14:paraId="388F5BE0"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B1" w14:textId="77777777" w:rsidR="00663CDF" w:rsidRDefault="00F71B39">
            <w:pPr>
              <w:pStyle w:val="Normal0"/>
              <w:spacing w:line="360" w:lineRule="auto"/>
              <w:jc w:val="center"/>
              <w:rPr>
                <w:sz w:val="14"/>
                <w:szCs w:val="14"/>
              </w:rPr>
            </w:pPr>
            <w:r>
              <w:rPr>
                <w:sz w:val="14"/>
                <w:szCs w:val="14"/>
              </w:rPr>
              <w:t>2017</w:t>
            </w:r>
          </w:p>
        </w:tc>
        <w:tc>
          <w:tcPr>
            <w:tcW w:w="980" w:type="dxa"/>
            <w:tcBorders>
              <w:top w:val="nil"/>
              <w:left w:val="nil"/>
              <w:bottom w:val="single" w:sz="4" w:space="0" w:color="000000"/>
              <w:right w:val="single" w:sz="4" w:space="0" w:color="000000"/>
            </w:tcBorders>
            <w:shd w:val="clear" w:color="auto" w:fill="auto"/>
            <w:vAlign w:val="center"/>
          </w:tcPr>
          <w:p w14:paraId="000002B2" w14:textId="77777777" w:rsidR="00663CDF" w:rsidRDefault="00F71B39">
            <w:pPr>
              <w:pStyle w:val="Normal0"/>
              <w:spacing w:line="360" w:lineRule="auto"/>
              <w:jc w:val="center"/>
              <w:rPr>
                <w:sz w:val="14"/>
                <w:szCs w:val="14"/>
              </w:rPr>
            </w:pPr>
            <w:r>
              <w:rPr>
                <w:sz w:val="14"/>
                <w:szCs w:val="14"/>
              </w:rPr>
              <w:t>5</w:t>
            </w:r>
          </w:p>
        </w:tc>
        <w:tc>
          <w:tcPr>
            <w:tcW w:w="1432" w:type="dxa"/>
            <w:tcBorders>
              <w:top w:val="nil"/>
              <w:left w:val="nil"/>
              <w:bottom w:val="single" w:sz="4" w:space="0" w:color="000000"/>
              <w:right w:val="single" w:sz="4" w:space="0" w:color="000000"/>
            </w:tcBorders>
            <w:shd w:val="clear" w:color="auto" w:fill="auto"/>
            <w:vAlign w:val="center"/>
          </w:tcPr>
          <w:p w14:paraId="000002B3" w14:textId="77777777" w:rsidR="00663CDF" w:rsidRDefault="00F71B39">
            <w:pPr>
              <w:pStyle w:val="Normal0"/>
              <w:spacing w:line="360" w:lineRule="auto"/>
              <w:jc w:val="center"/>
              <w:rPr>
                <w:sz w:val="14"/>
                <w:szCs w:val="14"/>
              </w:rPr>
            </w:pPr>
            <w:r>
              <w:rPr>
                <w:sz w:val="14"/>
                <w:szCs w:val="14"/>
              </w:rPr>
              <w:t>73179</w:t>
            </w:r>
          </w:p>
        </w:tc>
        <w:tc>
          <w:tcPr>
            <w:tcW w:w="1073" w:type="dxa"/>
            <w:tcBorders>
              <w:top w:val="nil"/>
              <w:left w:val="nil"/>
              <w:bottom w:val="single" w:sz="4" w:space="0" w:color="000000"/>
              <w:right w:val="single" w:sz="4" w:space="0" w:color="000000"/>
            </w:tcBorders>
            <w:shd w:val="clear" w:color="auto" w:fill="auto"/>
            <w:vAlign w:val="center"/>
          </w:tcPr>
          <w:p w14:paraId="000002B4" w14:textId="77777777" w:rsidR="00663CDF" w:rsidRDefault="00F71B39">
            <w:pPr>
              <w:pStyle w:val="Normal0"/>
              <w:spacing w:line="360" w:lineRule="auto"/>
              <w:jc w:val="center"/>
              <w:rPr>
                <w:sz w:val="14"/>
                <w:szCs w:val="14"/>
              </w:rPr>
            </w:pPr>
            <w:r>
              <w:rPr>
                <w:sz w:val="14"/>
                <w:szCs w:val="14"/>
              </w:rPr>
              <w:t>9729</w:t>
            </w:r>
          </w:p>
        </w:tc>
        <w:tc>
          <w:tcPr>
            <w:tcW w:w="948" w:type="dxa"/>
            <w:tcBorders>
              <w:top w:val="nil"/>
              <w:left w:val="nil"/>
              <w:bottom w:val="single" w:sz="4" w:space="0" w:color="000000"/>
              <w:right w:val="single" w:sz="4" w:space="0" w:color="000000"/>
            </w:tcBorders>
            <w:shd w:val="clear" w:color="auto" w:fill="auto"/>
            <w:vAlign w:val="center"/>
          </w:tcPr>
          <w:p w14:paraId="000002B5" w14:textId="77777777" w:rsidR="00663CDF" w:rsidRDefault="00F71B39">
            <w:pPr>
              <w:pStyle w:val="Normal0"/>
              <w:spacing w:line="360" w:lineRule="auto"/>
              <w:jc w:val="center"/>
              <w:rPr>
                <w:sz w:val="14"/>
                <w:szCs w:val="14"/>
              </w:rPr>
            </w:pPr>
            <w:r>
              <w:rPr>
                <w:sz w:val="14"/>
                <w:szCs w:val="14"/>
              </w:rPr>
              <w:t>15,33%</w:t>
            </w:r>
          </w:p>
        </w:tc>
        <w:tc>
          <w:tcPr>
            <w:tcW w:w="1308" w:type="dxa"/>
            <w:tcBorders>
              <w:top w:val="nil"/>
              <w:left w:val="nil"/>
              <w:bottom w:val="single" w:sz="4" w:space="0" w:color="000000"/>
              <w:right w:val="single" w:sz="4" w:space="0" w:color="000000"/>
            </w:tcBorders>
            <w:shd w:val="clear" w:color="auto" w:fill="auto"/>
            <w:vAlign w:val="center"/>
          </w:tcPr>
          <w:p w14:paraId="000002B6" w14:textId="77777777" w:rsidR="00663CDF" w:rsidRDefault="00F71B39">
            <w:pPr>
              <w:pStyle w:val="Normal0"/>
              <w:spacing w:line="360" w:lineRule="auto"/>
              <w:jc w:val="center"/>
              <w:rPr>
                <w:sz w:val="14"/>
                <w:szCs w:val="14"/>
              </w:rPr>
            </w:pPr>
            <w:r>
              <w:rPr>
                <w:sz w:val="14"/>
                <w:szCs w:val="14"/>
              </w:rPr>
              <w:t>12.844.707.282,33</w:t>
            </w:r>
          </w:p>
        </w:tc>
        <w:tc>
          <w:tcPr>
            <w:tcW w:w="1361" w:type="dxa"/>
            <w:tcBorders>
              <w:top w:val="nil"/>
              <w:left w:val="nil"/>
              <w:bottom w:val="single" w:sz="4" w:space="0" w:color="000000"/>
              <w:right w:val="single" w:sz="4" w:space="0" w:color="000000"/>
            </w:tcBorders>
            <w:shd w:val="clear" w:color="auto" w:fill="auto"/>
            <w:vAlign w:val="center"/>
          </w:tcPr>
          <w:p w14:paraId="000002B7" w14:textId="77777777" w:rsidR="00663CDF" w:rsidRDefault="00F71B39">
            <w:pPr>
              <w:pStyle w:val="Normal0"/>
              <w:spacing w:line="360" w:lineRule="auto"/>
              <w:jc w:val="center"/>
              <w:rPr>
                <w:sz w:val="14"/>
                <w:szCs w:val="14"/>
              </w:rPr>
            </w:pPr>
            <w:r>
              <w:rPr>
                <w:sz w:val="14"/>
                <w:szCs w:val="14"/>
              </w:rPr>
              <w:t>3.173.345.282,33</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B8" w14:textId="77777777" w:rsidR="00663CDF" w:rsidRDefault="00F71B39">
            <w:pPr>
              <w:pStyle w:val="Normal0"/>
              <w:spacing w:line="360" w:lineRule="auto"/>
              <w:jc w:val="center"/>
              <w:rPr>
                <w:sz w:val="14"/>
                <w:szCs w:val="14"/>
              </w:rPr>
            </w:pPr>
            <w:r>
              <w:rPr>
                <w:sz w:val="14"/>
                <w:szCs w:val="14"/>
              </w:rPr>
              <w:t>32,81%</w:t>
            </w:r>
          </w:p>
        </w:tc>
      </w:tr>
      <w:tr w:rsidR="00663CDF" w14:paraId="0E7A6D3C"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B9" w14:textId="77777777" w:rsidR="00663CDF" w:rsidRDefault="00F71B39">
            <w:pPr>
              <w:pStyle w:val="Normal0"/>
              <w:spacing w:line="360" w:lineRule="auto"/>
              <w:jc w:val="center"/>
              <w:rPr>
                <w:sz w:val="14"/>
                <w:szCs w:val="14"/>
              </w:rPr>
            </w:pPr>
            <w:r>
              <w:rPr>
                <w:sz w:val="14"/>
                <w:szCs w:val="14"/>
              </w:rPr>
              <w:t>2018</w:t>
            </w:r>
          </w:p>
        </w:tc>
        <w:tc>
          <w:tcPr>
            <w:tcW w:w="980" w:type="dxa"/>
            <w:tcBorders>
              <w:top w:val="nil"/>
              <w:left w:val="nil"/>
              <w:bottom w:val="single" w:sz="4" w:space="0" w:color="000000"/>
              <w:right w:val="single" w:sz="4" w:space="0" w:color="000000"/>
            </w:tcBorders>
            <w:shd w:val="clear" w:color="auto" w:fill="auto"/>
            <w:vAlign w:val="center"/>
          </w:tcPr>
          <w:p w14:paraId="000002BA" w14:textId="77777777" w:rsidR="00663CDF" w:rsidRDefault="00F71B39">
            <w:pPr>
              <w:pStyle w:val="Normal0"/>
              <w:spacing w:line="360" w:lineRule="auto"/>
              <w:jc w:val="center"/>
              <w:rPr>
                <w:sz w:val="14"/>
                <w:szCs w:val="14"/>
              </w:rPr>
            </w:pPr>
            <w:r>
              <w:rPr>
                <w:sz w:val="14"/>
                <w:szCs w:val="14"/>
              </w:rPr>
              <w:t>5</w:t>
            </w:r>
          </w:p>
        </w:tc>
        <w:tc>
          <w:tcPr>
            <w:tcW w:w="1432" w:type="dxa"/>
            <w:tcBorders>
              <w:top w:val="nil"/>
              <w:left w:val="nil"/>
              <w:bottom w:val="single" w:sz="4" w:space="0" w:color="000000"/>
              <w:right w:val="single" w:sz="4" w:space="0" w:color="000000"/>
            </w:tcBorders>
            <w:shd w:val="clear" w:color="auto" w:fill="auto"/>
            <w:vAlign w:val="center"/>
          </w:tcPr>
          <w:p w14:paraId="000002BB" w14:textId="77777777" w:rsidR="00663CDF" w:rsidRDefault="00F71B39">
            <w:pPr>
              <w:pStyle w:val="Normal0"/>
              <w:spacing w:line="360" w:lineRule="auto"/>
              <w:jc w:val="center"/>
              <w:rPr>
                <w:sz w:val="14"/>
                <w:szCs w:val="14"/>
              </w:rPr>
            </w:pPr>
            <w:r>
              <w:rPr>
                <w:sz w:val="14"/>
                <w:szCs w:val="14"/>
              </w:rPr>
              <w:t>98667</w:t>
            </w:r>
          </w:p>
        </w:tc>
        <w:tc>
          <w:tcPr>
            <w:tcW w:w="1073" w:type="dxa"/>
            <w:tcBorders>
              <w:top w:val="nil"/>
              <w:left w:val="nil"/>
              <w:bottom w:val="single" w:sz="4" w:space="0" w:color="000000"/>
              <w:right w:val="single" w:sz="4" w:space="0" w:color="000000"/>
            </w:tcBorders>
            <w:shd w:val="clear" w:color="auto" w:fill="auto"/>
            <w:vAlign w:val="center"/>
          </w:tcPr>
          <w:p w14:paraId="000002BC" w14:textId="77777777" w:rsidR="00663CDF" w:rsidRDefault="00F71B39">
            <w:pPr>
              <w:pStyle w:val="Normal0"/>
              <w:spacing w:line="360" w:lineRule="auto"/>
              <w:jc w:val="center"/>
              <w:rPr>
                <w:sz w:val="14"/>
                <w:szCs w:val="14"/>
              </w:rPr>
            </w:pPr>
            <w:r>
              <w:rPr>
                <w:sz w:val="14"/>
                <w:szCs w:val="14"/>
              </w:rPr>
              <w:t>25488</w:t>
            </w:r>
          </w:p>
        </w:tc>
        <w:tc>
          <w:tcPr>
            <w:tcW w:w="948" w:type="dxa"/>
            <w:tcBorders>
              <w:top w:val="nil"/>
              <w:left w:val="nil"/>
              <w:bottom w:val="single" w:sz="4" w:space="0" w:color="000000"/>
              <w:right w:val="single" w:sz="4" w:space="0" w:color="000000"/>
            </w:tcBorders>
            <w:shd w:val="clear" w:color="auto" w:fill="auto"/>
            <w:vAlign w:val="center"/>
          </w:tcPr>
          <w:p w14:paraId="000002BD" w14:textId="77777777" w:rsidR="00663CDF" w:rsidRDefault="00F71B39">
            <w:pPr>
              <w:pStyle w:val="Normal0"/>
              <w:spacing w:line="360" w:lineRule="auto"/>
              <w:jc w:val="center"/>
              <w:rPr>
                <w:sz w:val="14"/>
                <w:szCs w:val="14"/>
              </w:rPr>
            </w:pPr>
            <w:r>
              <w:rPr>
                <w:sz w:val="14"/>
                <w:szCs w:val="14"/>
              </w:rPr>
              <w:t>34,83%</w:t>
            </w:r>
          </w:p>
        </w:tc>
        <w:tc>
          <w:tcPr>
            <w:tcW w:w="1308" w:type="dxa"/>
            <w:tcBorders>
              <w:top w:val="nil"/>
              <w:left w:val="nil"/>
              <w:bottom w:val="single" w:sz="4" w:space="0" w:color="000000"/>
              <w:right w:val="single" w:sz="4" w:space="0" w:color="000000"/>
            </w:tcBorders>
            <w:shd w:val="clear" w:color="auto" w:fill="auto"/>
            <w:vAlign w:val="center"/>
          </w:tcPr>
          <w:p w14:paraId="000002BE" w14:textId="77777777" w:rsidR="00663CDF" w:rsidRDefault="00F71B39">
            <w:pPr>
              <w:pStyle w:val="Normal0"/>
              <w:spacing w:line="360" w:lineRule="auto"/>
              <w:jc w:val="center"/>
              <w:rPr>
                <w:sz w:val="14"/>
                <w:szCs w:val="14"/>
              </w:rPr>
            </w:pPr>
            <w:r>
              <w:rPr>
                <w:sz w:val="14"/>
                <w:szCs w:val="14"/>
              </w:rPr>
              <w:t>13.594.470.248,00</w:t>
            </w:r>
          </w:p>
        </w:tc>
        <w:tc>
          <w:tcPr>
            <w:tcW w:w="1361" w:type="dxa"/>
            <w:tcBorders>
              <w:top w:val="nil"/>
              <w:left w:val="nil"/>
              <w:bottom w:val="single" w:sz="4" w:space="0" w:color="000000"/>
              <w:right w:val="single" w:sz="4" w:space="0" w:color="000000"/>
            </w:tcBorders>
            <w:shd w:val="clear" w:color="auto" w:fill="auto"/>
            <w:vAlign w:val="center"/>
          </w:tcPr>
          <w:p w14:paraId="000002BF" w14:textId="77777777" w:rsidR="00663CDF" w:rsidRDefault="00F71B39">
            <w:pPr>
              <w:pStyle w:val="Normal0"/>
              <w:spacing w:line="360" w:lineRule="auto"/>
              <w:jc w:val="center"/>
              <w:rPr>
                <w:sz w:val="14"/>
                <w:szCs w:val="14"/>
              </w:rPr>
            </w:pPr>
            <w:r>
              <w:rPr>
                <w:sz w:val="14"/>
                <w:szCs w:val="14"/>
              </w:rPr>
              <w:t>749.762.965,67</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C0" w14:textId="77777777" w:rsidR="00663CDF" w:rsidRDefault="00F71B39">
            <w:pPr>
              <w:pStyle w:val="Normal0"/>
              <w:spacing w:line="360" w:lineRule="auto"/>
              <w:jc w:val="center"/>
              <w:rPr>
                <w:sz w:val="14"/>
                <w:szCs w:val="14"/>
              </w:rPr>
            </w:pPr>
            <w:r>
              <w:rPr>
                <w:sz w:val="14"/>
                <w:szCs w:val="14"/>
              </w:rPr>
              <w:t>5,84%</w:t>
            </w:r>
          </w:p>
        </w:tc>
      </w:tr>
      <w:tr w:rsidR="00663CDF" w14:paraId="4915B103"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C1" w14:textId="77777777" w:rsidR="00663CDF" w:rsidRDefault="00F71B39">
            <w:pPr>
              <w:pStyle w:val="Normal0"/>
              <w:spacing w:line="360" w:lineRule="auto"/>
              <w:jc w:val="center"/>
              <w:rPr>
                <w:sz w:val="14"/>
                <w:szCs w:val="14"/>
              </w:rPr>
            </w:pPr>
            <w:r>
              <w:rPr>
                <w:sz w:val="14"/>
                <w:szCs w:val="14"/>
              </w:rPr>
              <w:t>2019</w:t>
            </w:r>
          </w:p>
        </w:tc>
        <w:tc>
          <w:tcPr>
            <w:tcW w:w="980" w:type="dxa"/>
            <w:tcBorders>
              <w:top w:val="nil"/>
              <w:left w:val="nil"/>
              <w:bottom w:val="single" w:sz="4" w:space="0" w:color="000000"/>
              <w:right w:val="single" w:sz="4" w:space="0" w:color="000000"/>
            </w:tcBorders>
            <w:shd w:val="clear" w:color="auto" w:fill="auto"/>
            <w:vAlign w:val="center"/>
          </w:tcPr>
          <w:p w14:paraId="000002C2" w14:textId="77777777" w:rsidR="00663CDF" w:rsidRDefault="00F71B39">
            <w:pPr>
              <w:pStyle w:val="Normal0"/>
              <w:spacing w:line="360" w:lineRule="auto"/>
              <w:jc w:val="center"/>
              <w:rPr>
                <w:sz w:val="14"/>
                <w:szCs w:val="14"/>
              </w:rPr>
            </w:pPr>
            <w:r>
              <w:rPr>
                <w:sz w:val="14"/>
                <w:szCs w:val="14"/>
              </w:rPr>
              <w:t>5</w:t>
            </w:r>
          </w:p>
        </w:tc>
        <w:tc>
          <w:tcPr>
            <w:tcW w:w="1432" w:type="dxa"/>
            <w:tcBorders>
              <w:top w:val="nil"/>
              <w:left w:val="nil"/>
              <w:bottom w:val="single" w:sz="4" w:space="0" w:color="000000"/>
              <w:right w:val="single" w:sz="4" w:space="0" w:color="000000"/>
            </w:tcBorders>
            <w:shd w:val="clear" w:color="auto" w:fill="auto"/>
            <w:vAlign w:val="center"/>
          </w:tcPr>
          <w:p w14:paraId="000002C3" w14:textId="77777777" w:rsidR="00663CDF" w:rsidRDefault="00F71B39">
            <w:pPr>
              <w:pStyle w:val="Normal0"/>
              <w:spacing w:line="360" w:lineRule="auto"/>
              <w:jc w:val="center"/>
              <w:rPr>
                <w:sz w:val="14"/>
                <w:szCs w:val="14"/>
              </w:rPr>
            </w:pPr>
            <w:r>
              <w:rPr>
                <w:sz w:val="14"/>
                <w:szCs w:val="14"/>
              </w:rPr>
              <w:t>105166</w:t>
            </w:r>
          </w:p>
        </w:tc>
        <w:tc>
          <w:tcPr>
            <w:tcW w:w="1073" w:type="dxa"/>
            <w:tcBorders>
              <w:top w:val="nil"/>
              <w:left w:val="nil"/>
              <w:bottom w:val="single" w:sz="4" w:space="0" w:color="000000"/>
              <w:right w:val="single" w:sz="4" w:space="0" w:color="000000"/>
            </w:tcBorders>
            <w:shd w:val="clear" w:color="auto" w:fill="auto"/>
            <w:vAlign w:val="center"/>
          </w:tcPr>
          <w:p w14:paraId="000002C4" w14:textId="77777777" w:rsidR="00663CDF" w:rsidRDefault="00F71B39">
            <w:pPr>
              <w:pStyle w:val="Normal0"/>
              <w:spacing w:line="360" w:lineRule="auto"/>
              <w:jc w:val="center"/>
              <w:rPr>
                <w:sz w:val="14"/>
                <w:szCs w:val="14"/>
              </w:rPr>
            </w:pPr>
            <w:r>
              <w:rPr>
                <w:sz w:val="14"/>
                <w:szCs w:val="14"/>
              </w:rPr>
              <w:t>6499</w:t>
            </w:r>
          </w:p>
        </w:tc>
        <w:tc>
          <w:tcPr>
            <w:tcW w:w="948" w:type="dxa"/>
            <w:tcBorders>
              <w:top w:val="nil"/>
              <w:left w:val="nil"/>
              <w:bottom w:val="single" w:sz="4" w:space="0" w:color="000000"/>
              <w:right w:val="single" w:sz="4" w:space="0" w:color="000000"/>
            </w:tcBorders>
            <w:shd w:val="clear" w:color="auto" w:fill="auto"/>
            <w:vAlign w:val="center"/>
          </w:tcPr>
          <w:p w14:paraId="000002C5" w14:textId="77777777" w:rsidR="00663CDF" w:rsidRDefault="00F71B39">
            <w:pPr>
              <w:pStyle w:val="Normal0"/>
              <w:spacing w:line="360" w:lineRule="auto"/>
              <w:jc w:val="center"/>
              <w:rPr>
                <w:sz w:val="14"/>
                <w:szCs w:val="14"/>
              </w:rPr>
            </w:pPr>
            <w:r>
              <w:rPr>
                <w:sz w:val="14"/>
                <w:szCs w:val="14"/>
              </w:rPr>
              <w:t>6,59%</w:t>
            </w:r>
          </w:p>
        </w:tc>
        <w:tc>
          <w:tcPr>
            <w:tcW w:w="1308" w:type="dxa"/>
            <w:tcBorders>
              <w:top w:val="nil"/>
              <w:left w:val="nil"/>
              <w:bottom w:val="single" w:sz="4" w:space="0" w:color="000000"/>
              <w:right w:val="single" w:sz="4" w:space="0" w:color="000000"/>
            </w:tcBorders>
            <w:shd w:val="clear" w:color="auto" w:fill="auto"/>
            <w:vAlign w:val="center"/>
          </w:tcPr>
          <w:p w14:paraId="000002C6" w14:textId="77777777" w:rsidR="00663CDF" w:rsidRDefault="00F71B39">
            <w:pPr>
              <w:pStyle w:val="Normal0"/>
              <w:spacing w:line="360" w:lineRule="auto"/>
              <w:jc w:val="center"/>
              <w:rPr>
                <w:sz w:val="14"/>
                <w:szCs w:val="14"/>
              </w:rPr>
            </w:pPr>
            <w:r>
              <w:rPr>
                <w:sz w:val="14"/>
                <w:szCs w:val="14"/>
              </w:rPr>
              <w:t>18.647.263.469,79</w:t>
            </w:r>
          </w:p>
        </w:tc>
        <w:tc>
          <w:tcPr>
            <w:tcW w:w="1361" w:type="dxa"/>
            <w:tcBorders>
              <w:top w:val="nil"/>
              <w:left w:val="nil"/>
              <w:bottom w:val="single" w:sz="4" w:space="0" w:color="000000"/>
              <w:right w:val="single" w:sz="4" w:space="0" w:color="000000"/>
            </w:tcBorders>
            <w:shd w:val="clear" w:color="auto" w:fill="auto"/>
            <w:vAlign w:val="center"/>
          </w:tcPr>
          <w:p w14:paraId="000002C7" w14:textId="77777777" w:rsidR="00663CDF" w:rsidRDefault="00F71B39">
            <w:pPr>
              <w:pStyle w:val="Normal0"/>
              <w:spacing w:line="360" w:lineRule="auto"/>
              <w:jc w:val="center"/>
              <w:rPr>
                <w:sz w:val="14"/>
                <w:szCs w:val="14"/>
              </w:rPr>
            </w:pPr>
            <w:r>
              <w:rPr>
                <w:sz w:val="14"/>
                <w:szCs w:val="14"/>
              </w:rPr>
              <w:t>5.052.793.221,79</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C8" w14:textId="77777777" w:rsidR="00663CDF" w:rsidRDefault="00F71B39">
            <w:pPr>
              <w:pStyle w:val="Normal0"/>
              <w:spacing w:line="360" w:lineRule="auto"/>
              <w:jc w:val="center"/>
              <w:rPr>
                <w:sz w:val="14"/>
                <w:szCs w:val="14"/>
              </w:rPr>
            </w:pPr>
            <w:r>
              <w:rPr>
                <w:sz w:val="14"/>
                <w:szCs w:val="14"/>
              </w:rPr>
              <w:t>37,17%</w:t>
            </w:r>
          </w:p>
        </w:tc>
      </w:tr>
      <w:tr w:rsidR="00663CDF" w14:paraId="0D1A6D9C"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C9" w14:textId="77777777" w:rsidR="00663CDF" w:rsidRDefault="00F71B39">
            <w:pPr>
              <w:pStyle w:val="Normal0"/>
              <w:spacing w:line="360" w:lineRule="auto"/>
              <w:jc w:val="center"/>
              <w:rPr>
                <w:sz w:val="14"/>
                <w:szCs w:val="14"/>
              </w:rPr>
            </w:pPr>
            <w:r>
              <w:rPr>
                <w:sz w:val="14"/>
                <w:szCs w:val="14"/>
              </w:rPr>
              <w:t>2020</w:t>
            </w:r>
          </w:p>
        </w:tc>
        <w:tc>
          <w:tcPr>
            <w:tcW w:w="980" w:type="dxa"/>
            <w:tcBorders>
              <w:top w:val="nil"/>
              <w:left w:val="nil"/>
              <w:bottom w:val="single" w:sz="4" w:space="0" w:color="000000"/>
              <w:right w:val="single" w:sz="4" w:space="0" w:color="000000"/>
            </w:tcBorders>
            <w:shd w:val="clear" w:color="auto" w:fill="auto"/>
            <w:vAlign w:val="center"/>
          </w:tcPr>
          <w:p w14:paraId="000002CA" w14:textId="77777777" w:rsidR="00663CDF" w:rsidRDefault="00F71B39">
            <w:pPr>
              <w:pStyle w:val="Normal0"/>
              <w:spacing w:line="360" w:lineRule="auto"/>
              <w:jc w:val="center"/>
              <w:rPr>
                <w:sz w:val="14"/>
                <w:szCs w:val="14"/>
              </w:rPr>
            </w:pPr>
            <w:r>
              <w:rPr>
                <w:sz w:val="14"/>
                <w:szCs w:val="14"/>
              </w:rPr>
              <w:t>4</w:t>
            </w:r>
          </w:p>
        </w:tc>
        <w:tc>
          <w:tcPr>
            <w:tcW w:w="1432" w:type="dxa"/>
            <w:tcBorders>
              <w:top w:val="nil"/>
              <w:left w:val="nil"/>
              <w:bottom w:val="single" w:sz="4" w:space="0" w:color="000000"/>
              <w:right w:val="single" w:sz="4" w:space="0" w:color="000000"/>
            </w:tcBorders>
            <w:shd w:val="clear" w:color="auto" w:fill="auto"/>
            <w:vAlign w:val="center"/>
          </w:tcPr>
          <w:p w14:paraId="000002CB" w14:textId="77777777" w:rsidR="00663CDF" w:rsidRDefault="00F71B39">
            <w:pPr>
              <w:pStyle w:val="Normal0"/>
              <w:spacing w:line="360" w:lineRule="auto"/>
              <w:jc w:val="center"/>
              <w:rPr>
                <w:sz w:val="14"/>
                <w:szCs w:val="14"/>
              </w:rPr>
            </w:pPr>
            <w:r>
              <w:rPr>
                <w:sz w:val="14"/>
                <w:szCs w:val="14"/>
              </w:rPr>
              <w:t>108849</w:t>
            </w:r>
          </w:p>
        </w:tc>
        <w:tc>
          <w:tcPr>
            <w:tcW w:w="1073" w:type="dxa"/>
            <w:tcBorders>
              <w:top w:val="nil"/>
              <w:left w:val="nil"/>
              <w:bottom w:val="single" w:sz="4" w:space="0" w:color="000000"/>
              <w:right w:val="single" w:sz="4" w:space="0" w:color="000000"/>
            </w:tcBorders>
            <w:shd w:val="clear" w:color="auto" w:fill="auto"/>
            <w:vAlign w:val="center"/>
          </w:tcPr>
          <w:p w14:paraId="000002CC" w14:textId="77777777" w:rsidR="00663CDF" w:rsidRDefault="00F71B39">
            <w:pPr>
              <w:pStyle w:val="Normal0"/>
              <w:spacing w:line="360" w:lineRule="auto"/>
              <w:jc w:val="center"/>
              <w:rPr>
                <w:sz w:val="14"/>
                <w:szCs w:val="14"/>
              </w:rPr>
            </w:pPr>
            <w:r>
              <w:rPr>
                <w:sz w:val="14"/>
                <w:szCs w:val="14"/>
              </w:rPr>
              <w:t>3683</w:t>
            </w:r>
          </w:p>
        </w:tc>
        <w:tc>
          <w:tcPr>
            <w:tcW w:w="948" w:type="dxa"/>
            <w:tcBorders>
              <w:top w:val="nil"/>
              <w:left w:val="nil"/>
              <w:bottom w:val="single" w:sz="4" w:space="0" w:color="000000"/>
              <w:right w:val="single" w:sz="4" w:space="0" w:color="000000"/>
            </w:tcBorders>
            <w:shd w:val="clear" w:color="auto" w:fill="auto"/>
            <w:vAlign w:val="center"/>
          </w:tcPr>
          <w:p w14:paraId="000002CD" w14:textId="77777777" w:rsidR="00663CDF" w:rsidRDefault="00F71B39">
            <w:pPr>
              <w:pStyle w:val="Normal0"/>
              <w:spacing w:line="360" w:lineRule="auto"/>
              <w:jc w:val="center"/>
              <w:rPr>
                <w:sz w:val="14"/>
                <w:szCs w:val="14"/>
              </w:rPr>
            </w:pPr>
            <w:r>
              <w:rPr>
                <w:sz w:val="14"/>
                <w:szCs w:val="14"/>
              </w:rPr>
              <w:t>3,50%</w:t>
            </w:r>
          </w:p>
        </w:tc>
        <w:tc>
          <w:tcPr>
            <w:tcW w:w="1308" w:type="dxa"/>
            <w:tcBorders>
              <w:top w:val="nil"/>
              <w:left w:val="nil"/>
              <w:bottom w:val="single" w:sz="4" w:space="0" w:color="000000"/>
              <w:right w:val="single" w:sz="4" w:space="0" w:color="000000"/>
            </w:tcBorders>
            <w:shd w:val="clear" w:color="auto" w:fill="auto"/>
            <w:vAlign w:val="center"/>
          </w:tcPr>
          <w:p w14:paraId="000002CE" w14:textId="77777777" w:rsidR="00663CDF" w:rsidRDefault="00F71B39">
            <w:pPr>
              <w:pStyle w:val="Normal0"/>
              <w:spacing w:line="360" w:lineRule="auto"/>
              <w:jc w:val="center"/>
              <w:rPr>
                <w:sz w:val="14"/>
                <w:szCs w:val="14"/>
              </w:rPr>
            </w:pPr>
            <w:r>
              <w:rPr>
                <w:sz w:val="14"/>
                <w:szCs w:val="14"/>
              </w:rPr>
              <w:t>19.864.697.809,51</w:t>
            </w:r>
          </w:p>
        </w:tc>
        <w:tc>
          <w:tcPr>
            <w:tcW w:w="1361" w:type="dxa"/>
            <w:tcBorders>
              <w:top w:val="nil"/>
              <w:left w:val="nil"/>
              <w:bottom w:val="single" w:sz="4" w:space="0" w:color="000000"/>
              <w:right w:val="single" w:sz="4" w:space="0" w:color="000000"/>
            </w:tcBorders>
            <w:shd w:val="clear" w:color="auto" w:fill="auto"/>
            <w:vAlign w:val="center"/>
          </w:tcPr>
          <w:p w14:paraId="000002CF" w14:textId="77777777" w:rsidR="00663CDF" w:rsidRDefault="00F71B39">
            <w:pPr>
              <w:pStyle w:val="Normal0"/>
              <w:spacing w:line="360" w:lineRule="auto"/>
              <w:jc w:val="center"/>
              <w:rPr>
                <w:sz w:val="14"/>
                <w:szCs w:val="14"/>
              </w:rPr>
            </w:pPr>
            <w:r>
              <w:rPr>
                <w:sz w:val="14"/>
                <w:szCs w:val="14"/>
              </w:rPr>
              <w:t>1.217.434.339,72</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D0" w14:textId="77777777" w:rsidR="00663CDF" w:rsidRDefault="00F71B39">
            <w:pPr>
              <w:pStyle w:val="Normal0"/>
              <w:spacing w:line="360" w:lineRule="auto"/>
              <w:jc w:val="center"/>
              <w:rPr>
                <w:sz w:val="14"/>
                <w:szCs w:val="14"/>
              </w:rPr>
            </w:pPr>
            <w:r>
              <w:rPr>
                <w:sz w:val="14"/>
                <w:szCs w:val="14"/>
              </w:rPr>
              <w:t>6,53%</w:t>
            </w:r>
          </w:p>
        </w:tc>
      </w:tr>
      <w:tr w:rsidR="00663CDF" w14:paraId="62BE422E"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D1" w14:textId="77777777" w:rsidR="00663CDF" w:rsidRDefault="00F71B39">
            <w:pPr>
              <w:pStyle w:val="Normal0"/>
              <w:spacing w:line="360" w:lineRule="auto"/>
              <w:jc w:val="center"/>
              <w:rPr>
                <w:sz w:val="14"/>
                <w:szCs w:val="14"/>
              </w:rPr>
            </w:pPr>
            <w:r>
              <w:rPr>
                <w:sz w:val="14"/>
                <w:szCs w:val="14"/>
              </w:rPr>
              <w:t>2021</w:t>
            </w:r>
          </w:p>
        </w:tc>
        <w:tc>
          <w:tcPr>
            <w:tcW w:w="980" w:type="dxa"/>
            <w:tcBorders>
              <w:top w:val="nil"/>
              <w:left w:val="nil"/>
              <w:bottom w:val="single" w:sz="4" w:space="0" w:color="000000"/>
              <w:right w:val="single" w:sz="4" w:space="0" w:color="000000"/>
            </w:tcBorders>
            <w:shd w:val="clear" w:color="auto" w:fill="auto"/>
            <w:vAlign w:val="center"/>
          </w:tcPr>
          <w:p w14:paraId="000002D2" w14:textId="77777777" w:rsidR="00663CDF" w:rsidRDefault="00F71B39">
            <w:pPr>
              <w:pStyle w:val="Normal0"/>
              <w:spacing w:line="360" w:lineRule="auto"/>
              <w:jc w:val="center"/>
              <w:rPr>
                <w:sz w:val="14"/>
                <w:szCs w:val="14"/>
              </w:rPr>
            </w:pPr>
            <w:r>
              <w:rPr>
                <w:sz w:val="14"/>
                <w:szCs w:val="14"/>
              </w:rPr>
              <w:t>4</w:t>
            </w:r>
          </w:p>
        </w:tc>
        <w:tc>
          <w:tcPr>
            <w:tcW w:w="1432" w:type="dxa"/>
            <w:tcBorders>
              <w:top w:val="nil"/>
              <w:left w:val="nil"/>
              <w:bottom w:val="single" w:sz="4" w:space="0" w:color="000000"/>
              <w:right w:val="single" w:sz="4" w:space="0" w:color="000000"/>
            </w:tcBorders>
            <w:shd w:val="clear" w:color="auto" w:fill="auto"/>
            <w:vAlign w:val="center"/>
          </w:tcPr>
          <w:p w14:paraId="000002D3" w14:textId="77777777" w:rsidR="00663CDF" w:rsidRDefault="00F71B39">
            <w:pPr>
              <w:pStyle w:val="Normal0"/>
              <w:spacing w:line="360" w:lineRule="auto"/>
              <w:jc w:val="center"/>
              <w:rPr>
                <w:sz w:val="14"/>
                <w:szCs w:val="14"/>
              </w:rPr>
            </w:pPr>
            <w:r>
              <w:rPr>
                <w:sz w:val="14"/>
                <w:szCs w:val="14"/>
              </w:rPr>
              <w:t>112533</w:t>
            </w:r>
          </w:p>
        </w:tc>
        <w:tc>
          <w:tcPr>
            <w:tcW w:w="1073" w:type="dxa"/>
            <w:tcBorders>
              <w:top w:val="nil"/>
              <w:left w:val="nil"/>
              <w:bottom w:val="single" w:sz="4" w:space="0" w:color="000000"/>
              <w:right w:val="single" w:sz="4" w:space="0" w:color="000000"/>
            </w:tcBorders>
            <w:shd w:val="clear" w:color="auto" w:fill="auto"/>
            <w:vAlign w:val="center"/>
          </w:tcPr>
          <w:p w14:paraId="000002D4" w14:textId="77777777" w:rsidR="00663CDF" w:rsidRDefault="00F71B39">
            <w:pPr>
              <w:pStyle w:val="Normal0"/>
              <w:spacing w:line="360" w:lineRule="auto"/>
              <w:jc w:val="center"/>
              <w:rPr>
                <w:sz w:val="14"/>
                <w:szCs w:val="14"/>
              </w:rPr>
            </w:pPr>
            <w:r>
              <w:rPr>
                <w:sz w:val="14"/>
                <w:szCs w:val="14"/>
              </w:rPr>
              <w:t>3684</w:t>
            </w:r>
          </w:p>
        </w:tc>
        <w:tc>
          <w:tcPr>
            <w:tcW w:w="948" w:type="dxa"/>
            <w:tcBorders>
              <w:top w:val="nil"/>
              <w:left w:val="nil"/>
              <w:bottom w:val="single" w:sz="4" w:space="0" w:color="000000"/>
              <w:right w:val="single" w:sz="4" w:space="0" w:color="000000"/>
            </w:tcBorders>
            <w:shd w:val="clear" w:color="auto" w:fill="auto"/>
            <w:vAlign w:val="center"/>
          </w:tcPr>
          <w:p w14:paraId="000002D5" w14:textId="77777777" w:rsidR="00663CDF" w:rsidRDefault="00F71B39">
            <w:pPr>
              <w:pStyle w:val="Normal0"/>
              <w:spacing w:line="360" w:lineRule="auto"/>
              <w:jc w:val="center"/>
              <w:rPr>
                <w:sz w:val="14"/>
                <w:szCs w:val="14"/>
              </w:rPr>
            </w:pPr>
            <w:r>
              <w:rPr>
                <w:sz w:val="14"/>
                <w:szCs w:val="14"/>
              </w:rPr>
              <w:t>3,38%</w:t>
            </w:r>
          </w:p>
        </w:tc>
        <w:tc>
          <w:tcPr>
            <w:tcW w:w="1308" w:type="dxa"/>
            <w:tcBorders>
              <w:top w:val="nil"/>
              <w:left w:val="nil"/>
              <w:bottom w:val="single" w:sz="4" w:space="0" w:color="000000"/>
              <w:right w:val="single" w:sz="4" w:space="0" w:color="000000"/>
            </w:tcBorders>
            <w:shd w:val="clear" w:color="auto" w:fill="auto"/>
            <w:vAlign w:val="center"/>
          </w:tcPr>
          <w:p w14:paraId="000002D6" w14:textId="77777777" w:rsidR="00663CDF" w:rsidRDefault="00F71B39">
            <w:pPr>
              <w:pStyle w:val="Normal0"/>
              <w:spacing w:line="360" w:lineRule="auto"/>
              <w:jc w:val="center"/>
              <w:rPr>
                <w:sz w:val="14"/>
                <w:szCs w:val="14"/>
              </w:rPr>
            </w:pPr>
            <w:r>
              <w:rPr>
                <w:sz w:val="14"/>
                <w:szCs w:val="14"/>
              </w:rPr>
              <w:t>24.887.376.124,00</w:t>
            </w:r>
          </w:p>
        </w:tc>
        <w:tc>
          <w:tcPr>
            <w:tcW w:w="1361" w:type="dxa"/>
            <w:tcBorders>
              <w:top w:val="nil"/>
              <w:left w:val="nil"/>
              <w:bottom w:val="single" w:sz="4" w:space="0" w:color="000000"/>
              <w:right w:val="single" w:sz="4" w:space="0" w:color="000000"/>
            </w:tcBorders>
            <w:shd w:val="clear" w:color="auto" w:fill="auto"/>
            <w:vAlign w:val="center"/>
          </w:tcPr>
          <w:p w14:paraId="000002D7" w14:textId="77777777" w:rsidR="00663CDF" w:rsidRDefault="00F71B39">
            <w:pPr>
              <w:pStyle w:val="Normal0"/>
              <w:spacing w:line="360" w:lineRule="auto"/>
              <w:jc w:val="center"/>
              <w:rPr>
                <w:sz w:val="14"/>
                <w:szCs w:val="14"/>
              </w:rPr>
            </w:pPr>
            <w:r>
              <w:rPr>
                <w:sz w:val="14"/>
                <w:szCs w:val="14"/>
              </w:rPr>
              <w:t>5.022.678.314,49</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D8" w14:textId="77777777" w:rsidR="00663CDF" w:rsidRDefault="00F71B39">
            <w:pPr>
              <w:pStyle w:val="Normal0"/>
              <w:spacing w:line="360" w:lineRule="auto"/>
              <w:jc w:val="center"/>
              <w:rPr>
                <w:sz w:val="14"/>
                <w:szCs w:val="14"/>
              </w:rPr>
            </w:pPr>
            <w:r>
              <w:rPr>
                <w:sz w:val="14"/>
                <w:szCs w:val="14"/>
              </w:rPr>
              <w:t>20,18%</w:t>
            </w:r>
          </w:p>
        </w:tc>
      </w:tr>
      <w:tr w:rsidR="00663CDF" w14:paraId="5065CEA1" w14:textId="77777777">
        <w:trPr>
          <w:trHeight w:val="30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D9" w14:textId="77777777" w:rsidR="00663CDF" w:rsidRDefault="00F71B39">
            <w:pPr>
              <w:pStyle w:val="Normal0"/>
              <w:spacing w:line="360" w:lineRule="auto"/>
              <w:jc w:val="center"/>
              <w:rPr>
                <w:sz w:val="14"/>
                <w:szCs w:val="14"/>
              </w:rPr>
            </w:pPr>
            <w:r>
              <w:rPr>
                <w:sz w:val="14"/>
                <w:szCs w:val="14"/>
              </w:rPr>
              <w:t>2022</w:t>
            </w:r>
          </w:p>
        </w:tc>
        <w:tc>
          <w:tcPr>
            <w:tcW w:w="980" w:type="dxa"/>
            <w:tcBorders>
              <w:top w:val="nil"/>
              <w:left w:val="nil"/>
              <w:bottom w:val="single" w:sz="4" w:space="0" w:color="000000"/>
              <w:right w:val="single" w:sz="4" w:space="0" w:color="000000"/>
            </w:tcBorders>
            <w:shd w:val="clear" w:color="auto" w:fill="auto"/>
            <w:vAlign w:val="center"/>
          </w:tcPr>
          <w:p w14:paraId="000002DA" w14:textId="77777777" w:rsidR="00663CDF" w:rsidRDefault="00F71B39">
            <w:pPr>
              <w:pStyle w:val="Normal0"/>
              <w:spacing w:line="360" w:lineRule="auto"/>
              <w:jc w:val="center"/>
              <w:rPr>
                <w:sz w:val="14"/>
                <w:szCs w:val="14"/>
              </w:rPr>
            </w:pPr>
            <w:r>
              <w:rPr>
                <w:sz w:val="14"/>
                <w:szCs w:val="14"/>
              </w:rPr>
              <w:t>3</w:t>
            </w:r>
          </w:p>
        </w:tc>
        <w:tc>
          <w:tcPr>
            <w:tcW w:w="1432" w:type="dxa"/>
            <w:tcBorders>
              <w:top w:val="nil"/>
              <w:left w:val="nil"/>
              <w:bottom w:val="single" w:sz="4" w:space="0" w:color="000000"/>
              <w:right w:val="single" w:sz="4" w:space="0" w:color="000000"/>
            </w:tcBorders>
            <w:shd w:val="clear" w:color="auto" w:fill="auto"/>
            <w:vAlign w:val="center"/>
          </w:tcPr>
          <w:p w14:paraId="000002DB" w14:textId="77777777" w:rsidR="00663CDF" w:rsidRDefault="00F71B39">
            <w:pPr>
              <w:pStyle w:val="Normal0"/>
              <w:spacing w:line="360" w:lineRule="auto"/>
              <w:jc w:val="center"/>
              <w:rPr>
                <w:sz w:val="14"/>
                <w:szCs w:val="14"/>
              </w:rPr>
            </w:pPr>
            <w:r>
              <w:rPr>
                <w:sz w:val="14"/>
                <w:szCs w:val="14"/>
              </w:rPr>
              <w:t>113746</w:t>
            </w:r>
          </w:p>
        </w:tc>
        <w:tc>
          <w:tcPr>
            <w:tcW w:w="1073" w:type="dxa"/>
            <w:tcBorders>
              <w:top w:val="nil"/>
              <w:left w:val="nil"/>
              <w:bottom w:val="single" w:sz="4" w:space="0" w:color="000000"/>
              <w:right w:val="single" w:sz="4" w:space="0" w:color="000000"/>
            </w:tcBorders>
            <w:shd w:val="clear" w:color="auto" w:fill="auto"/>
            <w:vAlign w:val="center"/>
          </w:tcPr>
          <w:p w14:paraId="000002DC" w14:textId="77777777" w:rsidR="00663CDF" w:rsidRDefault="00F71B39">
            <w:pPr>
              <w:pStyle w:val="Normal0"/>
              <w:spacing w:line="360" w:lineRule="auto"/>
              <w:jc w:val="center"/>
              <w:rPr>
                <w:sz w:val="14"/>
                <w:szCs w:val="14"/>
              </w:rPr>
            </w:pPr>
            <w:r>
              <w:rPr>
                <w:sz w:val="14"/>
                <w:szCs w:val="14"/>
              </w:rPr>
              <w:t>1213</w:t>
            </w:r>
          </w:p>
        </w:tc>
        <w:tc>
          <w:tcPr>
            <w:tcW w:w="948" w:type="dxa"/>
            <w:tcBorders>
              <w:top w:val="nil"/>
              <w:left w:val="nil"/>
              <w:bottom w:val="single" w:sz="4" w:space="0" w:color="000000"/>
              <w:right w:val="single" w:sz="4" w:space="0" w:color="000000"/>
            </w:tcBorders>
            <w:shd w:val="clear" w:color="auto" w:fill="auto"/>
            <w:vAlign w:val="center"/>
          </w:tcPr>
          <w:p w14:paraId="000002DD" w14:textId="77777777" w:rsidR="00663CDF" w:rsidRDefault="00F71B39">
            <w:pPr>
              <w:pStyle w:val="Normal0"/>
              <w:spacing w:line="360" w:lineRule="auto"/>
              <w:jc w:val="center"/>
              <w:rPr>
                <w:sz w:val="14"/>
                <w:szCs w:val="14"/>
              </w:rPr>
            </w:pPr>
            <w:r>
              <w:rPr>
                <w:sz w:val="14"/>
                <w:szCs w:val="14"/>
              </w:rPr>
              <w:t>1,08%</w:t>
            </w:r>
          </w:p>
        </w:tc>
        <w:tc>
          <w:tcPr>
            <w:tcW w:w="1308" w:type="dxa"/>
            <w:tcBorders>
              <w:top w:val="nil"/>
              <w:left w:val="nil"/>
              <w:bottom w:val="single" w:sz="4" w:space="0" w:color="000000"/>
              <w:right w:val="single" w:sz="4" w:space="0" w:color="000000"/>
            </w:tcBorders>
            <w:shd w:val="clear" w:color="auto" w:fill="auto"/>
            <w:vAlign w:val="center"/>
          </w:tcPr>
          <w:p w14:paraId="000002DE" w14:textId="77777777" w:rsidR="00663CDF" w:rsidRDefault="00F71B39">
            <w:pPr>
              <w:pStyle w:val="Normal0"/>
              <w:spacing w:line="360" w:lineRule="auto"/>
              <w:jc w:val="center"/>
              <w:rPr>
                <w:sz w:val="14"/>
                <w:szCs w:val="14"/>
              </w:rPr>
            </w:pPr>
            <w:r>
              <w:rPr>
                <w:sz w:val="14"/>
                <w:szCs w:val="14"/>
              </w:rPr>
              <w:t>36.701.029.678,00</w:t>
            </w:r>
          </w:p>
        </w:tc>
        <w:tc>
          <w:tcPr>
            <w:tcW w:w="1361" w:type="dxa"/>
            <w:tcBorders>
              <w:top w:val="nil"/>
              <w:left w:val="nil"/>
              <w:bottom w:val="single" w:sz="4" w:space="0" w:color="000000"/>
              <w:right w:val="single" w:sz="4" w:space="0" w:color="000000"/>
            </w:tcBorders>
            <w:shd w:val="clear" w:color="auto" w:fill="auto"/>
            <w:vAlign w:val="center"/>
          </w:tcPr>
          <w:p w14:paraId="000002DF" w14:textId="77777777" w:rsidR="00663CDF" w:rsidRDefault="00F71B39">
            <w:pPr>
              <w:pStyle w:val="Normal0"/>
              <w:spacing w:line="360" w:lineRule="auto"/>
              <w:jc w:val="center"/>
              <w:rPr>
                <w:sz w:val="14"/>
                <w:szCs w:val="14"/>
              </w:rPr>
            </w:pPr>
            <w:r>
              <w:rPr>
                <w:sz w:val="14"/>
                <w:szCs w:val="14"/>
              </w:rPr>
              <w:t>11.813.653.554,00</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0" w14:textId="77777777" w:rsidR="00663CDF" w:rsidRDefault="00F71B39">
            <w:pPr>
              <w:pStyle w:val="Normal0"/>
              <w:spacing w:line="360" w:lineRule="auto"/>
              <w:jc w:val="center"/>
              <w:rPr>
                <w:sz w:val="14"/>
                <w:szCs w:val="14"/>
              </w:rPr>
            </w:pPr>
            <w:r>
              <w:rPr>
                <w:sz w:val="14"/>
                <w:szCs w:val="14"/>
              </w:rPr>
              <w:t>47,47%</w:t>
            </w:r>
          </w:p>
        </w:tc>
      </w:tr>
      <w:tr w:rsidR="00663CDF" w14:paraId="040113C9" w14:textId="77777777">
        <w:trPr>
          <w:trHeight w:val="360"/>
        </w:trPr>
        <w:tc>
          <w:tcPr>
            <w:tcW w:w="7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1" w14:textId="77777777" w:rsidR="00663CDF" w:rsidRDefault="00F71B39">
            <w:pPr>
              <w:pStyle w:val="Normal0"/>
              <w:spacing w:line="360" w:lineRule="auto"/>
              <w:jc w:val="center"/>
              <w:rPr>
                <w:sz w:val="14"/>
                <w:szCs w:val="14"/>
              </w:rPr>
            </w:pPr>
            <w:r>
              <w:rPr>
                <w:sz w:val="14"/>
                <w:szCs w:val="14"/>
              </w:rPr>
              <w:t>2023</w:t>
            </w:r>
          </w:p>
        </w:tc>
        <w:tc>
          <w:tcPr>
            <w:tcW w:w="9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2" w14:textId="77777777" w:rsidR="00663CDF" w:rsidRDefault="00F71B39">
            <w:pPr>
              <w:pStyle w:val="Normal0"/>
              <w:spacing w:line="360" w:lineRule="auto"/>
              <w:jc w:val="center"/>
              <w:rPr>
                <w:sz w:val="14"/>
                <w:szCs w:val="14"/>
              </w:rPr>
            </w:pPr>
            <w:r>
              <w:rPr>
                <w:sz w:val="14"/>
                <w:szCs w:val="14"/>
              </w:rPr>
              <w:t>3</w:t>
            </w:r>
          </w:p>
        </w:tc>
        <w:tc>
          <w:tcPr>
            <w:tcW w:w="14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3" w14:textId="77777777" w:rsidR="00663CDF" w:rsidRDefault="00F71B39">
            <w:pPr>
              <w:pStyle w:val="Normal0"/>
              <w:spacing w:line="360" w:lineRule="auto"/>
              <w:jc w:val="center"/>
              <w:rPr>
                <w:sz w:val="14"/>
                <w:szCs w:val="14"/>
              </w:rPr>
            </w:pPr>
            <w:r>
              <w:rPr>
                <w:sz w:val="14"/>
                <w:szCs w:val="14"/>
              </w:rPr>
              <w:t>114716</w:t>
            </w:r>
          </w:p>
        </w:tc>
        <w:tc>
          <w:tcPr>
            <w:tcW w:w="107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4" w14:textId="77777777" w:rsidR="00663CDF" w:rsidRDefault="00F71B39">
            <w:pPr>
              <w:pStyle w:val="Normal0"/>
              <w:spacing w:line="360" w:lineRule="auto"/>
              <w:jc w:val="center"/>
              <w:rPr>
                <w:sz w:val="14"/>
                <w:szCs w:val="14"/>
              </w:rPr>
            </w:pPr>
            <w:r>
              <w:rPr>
                <w:sz w:val="14"/>
                <w:szCs w:val="14"/>
              </w:rPr>
              <w:t>970</w:t>
            </w:r>
          </w:p>
        </w:tc>
        <w:tc>
          <w:tcPr>
            <w:tcW w:w="9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5" w14:textId="77777777" w:rsidR="00663CDF" w:rsidRDefault="00F71B39">
            <w:pPr>
              <w:pStyle w:val="Normal0"/>
              <w:spacing w:line="360" w:lineRule="auto"/>
              <w:jc w:val="center"/>
              <w:rPr>
                <w:sz w:val="14"/>
                <w:szCs w:val="14"/>
              </w:rPr>
            </w:pPr>
            <w:r>
              <w:rPr>
                <w:sz w:val="14"/>
                <w:szCs w:val="14"/>
              </w:rPr>
              <w:t>0,85%</w:t>
            </w:r>
          </w:p>
        </w:tc>
        <w:tc>
          <w:tcPr>
            <w:tcW w:w="13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6" w14:textId="77777777" w:rsidR="00663CDF" w:rsidRDefault="00F71B39">
            <w:pPr>
              <w:pStyle w:val="Normal0"/>
              <w:spacing w:line="360" w:lineRule="auto"/>
              <w:jc w:val="center"/>
              <w:rPr>
                <w:sz w:val="14"/>
                <w:szCs w:val="14"/>
              </w:rPr>
            </w:pPr>
            <w:r>
              <w:rPr>
                <w:sz w:val="14"/>
                <w:szCs w:val="14"/>
              </w:rPr>
              <w:t>40.712.653.497,00</w:t>
            </w:r>
          </w:p>
        </w:tc>
        <w:tc>
          <w:tcPr>
            <w:tcW w:w="136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7" w14:textId="77777777" w:rsidR="00663CDF" w:rsidRDefault="00F71B39">
            <w:pPr>
              <w:pStyle w:val="Normal0"/>
              <w:spacing w:line="360" w:lineRule="auto"/>
              <w:jc w:val="center"/>
              <w:rPr>
                <w:sz w:val="14"/>
                <w:szCs w:val="14"/>
              </w:rPr>
            </w:pPr>
            <w:r>
              <w:rPr>
                <w:sz w:val="14"/>
                <w:szCs w:val="14"/>
              </w:rPr>
              <w:t>4.011.623.819,00</w:t>
            </w:r>
          </w:p>
        </w:tc>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E8" w14:textId="77777777" w:rsidR="00663CDF" w:rsidRDefault="00F71B39">
            <w:pPr>
              <w:pStyle w:val="Normal0"/>
              <w:spacing w:line="360" w:lineRule="auto"/>
              <w:jc w:val="center"/>
              <w:rPr>
                <w:sz w:val="14"/>
                <w:szCs w:val="14"/>
              </w:rPr>
            </w:pPr>
            <w:r>
              <w:rPr>
                <w:sz w:val="14"/>
                <w:szCs w:val="14"/>
              </w:rPr>
              <w:t>10,93%</w:t>
            </w:r>
          </w:p>
        </w:tc>
      </w:tr>
      <w:tr w:rsidR="00663CDF" w14:paraId="44EAFD9C" w14:textId="77777777">
        <w:trPr>
          <w:trHeight w:val="300"/>
        </w:trPr>
        <w:tc>
          <w:tcPr>
            <w:tcW w:w="705" w:type="dxa"/>
            <w:tcBorders>
              <w:top w:val="nil"/>
              <w:left w:val="nil"/>
              <w:bottom w:val="nil"/>
              <w:right w:val="nil"/>
            </w:tcBorders>
            <w:shd w:val="clear" w:color="auto" w:fill="auto"/>
            <w:vAlign w:val="center"/>
          </w:tcPr>
          <w:p w14:paraId="000002E9" w14:textId="77777777" w:rsidR="00663CDF" w:rsidRDefault="00663CDF">
            <w:pPr>
              <w:pStyle w:val="Normal0"/>
              <w:spacing w:line="360" w:lineRule="auto"/>
              <w:jc w:val="center"/>
              <w:rPr>
                <w:sz w:val="14"/>
                <w:szCs w:val="14"/>
              </w:rPr>
            </w:pPr>
          </w:p>
        </w:tc>
        <w:tc>
          <w:tcPr>
            <w:tcW w:w="4433" w:type="dxa"/>
            <w:gridSpan w:val="4"/>
            <w:tcBorders>
              <w:top w:val="nil"/>
              <w:left w:val="nil"/>
              <w:bottom w:val="nil"/>
              <w:right w:val="nil"/>
            </w:tcBorders>
            <w:shd w:val="clear" w:color="auto" w:fill="auto"/>
            <w:vAlign w:val="center"/>
          </w:tcPr>
          <w:p w14:paraId="000002EA" w14:textId="77777777" w:rsidR="00663CDF" w:rsidRDefault="00663CDF">
            <w:pPr>
              <w:pStyle w:val="Normal0"/>
              <w:spacing w:line="360" w:lineRule="auto"/>
              <w:jc w:val="center"/>
              <w:rPr>
                <w:sz w:val="14"/>
                <w:szCs w:val="14"/>
              </w:rPr>
            </w:pPr>
          </w:p>
        </w:tc>
        <w:tc>
          <w:tcPr>
            <w:tcW w:w="1308" w:type="dxa"/>
            <w:tcBorders>
              <w:top w:val="nil"/>
              <w:left w:val="nil"/>
              <w:bottom w:val="nil"/>
              <w:right w:val="nil"/>
            </w:tcBorders>
            <w:shd w:val="clear" w:color="auto" w:fill="auto"/>
            <w:vAlign w:val="center"/>
          </w:tcPr>
          <w:p w14:paraId="000002EE" w14:textId="77777777" w:rsidR="00663CDF" w:rsidRDefault="00663CDF">
            <w:pPr>
              <w:pStyle w:val="Normal0"/>
              <w:spacing w:line="360" w:lineRule="auto"/>
              <w:jc w:val="center"/>
              <w:rPr>
                <w:sz w:val="14"/>
                <w:szCs w:val="14"/>
              </w:rPr>
            </w:pPr>
          </w:p>
        </w:tc>
        <w:tc>
          <w:tcPr>
            <w:tcW w:w="1361" w:type="dxa"/>
            <w:tcBorders>
              <w:top w:val="nil"/>
              <w:left w:val="nil"/>
              <w:bottom w:val="nil"/>
              <w:right w:val="nil"/>
            </w:tcBorders>
            <w:shd w:val="clear" w:color="auto" w:fill="auto"/>
            <w:vAlign w:val="center"/>
          </w:tcPr>
          <w:p w14:paraId="000002EF" w14:textId="77777777" w:rsidR="00663CDF" w:rsidRDefault="00663CDF">
            <w:pPr>
              <w:pStyle w:val="Normal0"/>
              <w:spacing w:line="360" w:lineRule="auto"/>
              <w:jc w:val="center"/>
              <w:rPr>
                <w:sz w:val="14"/>
                <w:szCs w:val="14"/>
              </w:rPr>
            </w:pPr>
          </w:p>
        </w:tc>
        <w:tc>
          <w:tcPr>
            <w:tcW w:w="1021" w:type="dxa"/>
            <w:tcBorders>
              <w:top w:val="nil"/>
              <w:left w:val="nil"/>
              <w:bottom w:val="nil"/>
              <w:right w:val="nil"/>
            </w:tcBorders>
            <w:shd w:val="clear" w:color="auto" w:fill="auto"/>
            <w:vAlign w:val="center"/>
          </w:tcPr>
          <w:p w14:paraId="000002F0" w14:textId="77777777" w:rsidR="00663CDF" w:rsidRDefault="00663CDF">
            <w:pPr>
              <w:pStyle w:val="Normal0"/>
              <w:spacing w:line="360" w:lineRule="auto"/>
              <w:jc w:val="center"/>
              <w:rPr>
                <w:sz w:val="14"/>
                <w:szCs w:val="14"/>
              </w:rPr>
            </w:pPr>
          </w:p>
        </w:tc>
      </w:tr>
    </w:tbl>
    <w:p w14:paraId="000002F1" w14:textId="77777777" w:rsidR="00663CDF" w:rsidRDefault="00F71B39">
      <w:pPr>
        <w:pStyle w:val="Normal0"/>
        <w:rPr>
          <w:b/>
        </w:rPr>
      </w:pPr>
      <w:r>
        <w:rPr>
          <w:b/>
        </w:rPr>
        <w:t xml:space="preserve">Fuente: Contaduría General De La Nación. Elaboración Propia. </w:t>
      </w:r>
    </w:p>
    <w:p w14:paraId="000002F2" w14:textId="77777777" w:rsidR="00663CDF" w:rsidRDefault="00663CDF">
      <w:pPr>
        <w:pStyle w:val="Normal0"/>
        <w:rPr>
          <w:b/>
        </w:rPr>
      </w:pPr>
    </w:p>
    <w:p w14:paraId="000002F3" w14:textId="77777777" w:rsidR="00663CDF" w:rsidRDefault="00F71B39">
      <w:pPr>
        <w:pStyle w:val="Normal0"/>
        <w:spacing w:line="360" w:lineRule="auto"/>
      </w:pPr>
      <w:r>
        <w:t xml:space="preserve">Este desfase entre el crecimiento poblacional y la evolución de los ingresos propios afecta directamente la eficiencia del gasto. En 2020, por ejemplo, se produjo un decrecimiento en el porcentaje de generación de recursos propios, lo que sugiere un aumento significativo en los gastos de funcionamiento en comparación con los ingresos corrientes de libre destinación (ICLD); es decir se reduce el margen para la inversión pública, especialmente en sectores clave como salud, educación e infraestructura. No obstante, para los años 2022 y 2023, se evidencia una </w:t>
      </w:r>
      <w:r>
        <w:lastRenderedPageBreak/>
        <w:t xml:space="preserve">recuperación del porcentaje del gasto de inversión, alcanzando niveles del 73 % y 75 %, respectivamente. Luego entonces, este comportamiento indica una mejora en la gestión financiera, posiblemente a través de un mayor control del gasto o una mejor ejecución presupuestal. De hecho, el Indicador de Desempeño Fiscal (IDF) del municipio mejora en estos años, pasando de 56,76 en 2021 a 65,57 en 2022 y 70,11 en 2023, con una tendencia positiva en el componente de sostenibilidad del gasto (COMPARATIVOS IDF, hoja CGN). </w:t>
      </w:r>
    </w:p>
    <w:p w14:paraId="000002F4" w14:textId="77777777" w:rsidR="00663CDF" w:rsidRDefault="00663CDF">
      <w:pPr>
        <w:pStyle w:val="Normal0"/>
        <w:spacing w:line="360" w:lineRule="auto"/>
        <w:rPr>
          <w:b/>
        </w:rPr>
      </w:pPr>
    </w:p>
    <w:p w14:paraId="000002F5" w14:textId="77777777" w:rsidR="00663CDF" w:rsidRDefault="00F71B39">
      <w:pPr>
        <w:pStyle w:val="Normal0"/>
        <w:pBdr>
          <w:top w:val="nil"/>
          <w:left w:val="nil"/>
          <w:bottom w:val="nil"/>
          <w:right w:val="nil"/>
          <w:between w:val="nil"/>
        </w:pBdr>
        <w:spacing w:after="160" w:line="360" w:lineRule="auto"/>
        <w:rPr>
          <w:b/>
          <w:color w:val="000000"/>
        </w:rPr>
      </w:pPr>
      <w:bookmarkStart w:id="40" w:name="_heading=h.c84yyq7uank9" w:colFirst="0" w:colLast="0"/>
      <w:bookmarkEnd w:id="40"/>
      <w:r>
        <w:rPr>
          <w:b/>
          <w:color w:val="000000"/>
        </w:rPr>
        <w:t>Tabla 5. Resoluciones de las evaluaciones de la categorización</w:t>
      </w:r>
    </w:p>
    <w:tbl>
      <w:tblPr>
        <w:tblStyle w:val="a4"/>
        <w:tblW w:w="8828" w:type="dxa"/>
        <w:tblLayout w:type="fixed"/>
        <w:tblLook w:val="0400" w:firstRow="0" w:lastRow="0" w:firstColumn="0" w:lastColumn="0" w:noHBand="0" w:noVBand="1"/>
      </w:tblPr>
      <w:tblGrid>
        <w:gridCol w:w="1669"/>
        <w:gridCol w:w="1668"/>
        <w:gridCol w:w="1683"/>
        <w:gridCol w:w="1917"/>
        <w:gridCol w:w="1891"/>
      </w:tblGrid>
      <w:tr w:rsidR="00663CDF" w14:paraId="77528302" w14:textId="77777777">
        <w:trPr>
          <w:trHeight w:val="600"/>
        </w:trPr>
        <w:tc>
          <w:tcPr>
            <w:tcW w:w="166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2F6" w14:textId="77777777" w:rsidR="00663CDF" w:rsidRDefault="00F71B39">
            <w:pPr>
              <w:pStyle w:val="Normal0"/>
              <w:spacing w:line="360" w:lineRule="auto"/>
              <w:jc w:val="center"/>
              <w:rPr>
                <w:b/>
                <w:sz w:val="22"/>
                <w:szCs w:val="22"/>
              </w:rPr>
            </w:pPr>
            <w:r>
              <w:rPr>
                <w:b/>
                <w:sz w:val="22"/>
                <w:szCs w:val="22"/>
              </w:rPr>
              <w:t>CODIGO CGN</w:t>
            </w:r>
          </w:p>
        </w:tc>
        <w:tc>
          <w:tcPr>
            <w:tcW w:w="1668" w:type="dxa"/>
            <w:tcBorders>
              <w:top w:val="single" w:sz="4" w:space="0" w:color="000000"/>
              <w:left w:val="nil"/>
              <w:bottom w:val="single" w:sz="4" w:space="0" w:color="000000"/>
              <w:right w:val="single" w:sz="4" w:space="0" w:color="000000"/>
            </w:tcBorders>
            <w:shd w:val="clear" w:color="auto" w:fill="auto"/>
            <w:vAlign w:val="center"/>
          </w:tcPr>
          <w:p w14:paraId="000002F7" w14:textId="77777777" w:rsidR="00663CDF" w:rsidRDefault="00F71B39">
            <w:pPr>
              <w:pStyle w:val="Normal0"/>
              <w:spacing w:line="360" w:lineRule="auto"/>
              <w:jc w:val="center"/>
              <w:rPr>
                <w:b/>
                <w:sz w:val="22"/>
                <w:szCs w:val="22"/>
              </w:rPr>
            </w:pPr>
            <w:r>
              <w:rPr>
                <w:b/>
                <w:sz w:val="22"/>
                <w:szCs w:val="22"/>
              </w:rPr>
              <w:t>AÑO</w:t>
            </w:r>
          </w:p>
        </w:tc>
        <w:tc>
          <w:tcPr>
            <w:tcW w:w="1683" w:type="dxa"/>
            <w:tcBorders>
              <w:top w:val="single" w:sz="4" w:space="0" w:color="000000"/>
              <w:left w:val="nil"/>
              <w:bottom w:val="single" w:sz="4" w:space="0" w:color="000000"/>
              <w:right w:val="single" w:sz="4" w:space="0" w:color="000000"/>
            </w:tcBorders>
            <w:shd w:val="clear" w:color="auto" w:fill="auto"/>
            <w:vAlign w:val="center"/>
          </w:tcPr>
          <w:p w14:paraId="000002F8" w14:textId="77777777" w:rsidR="00663CDF" w:rsidRDefault="00F71B39">
            <w:pPr>
              <w:pStyle w:val="Normal0"/>
              <w:spacing w:line="360" w:lineRule="auto"/>
              <w:jc w:val="center"/>
              <w:rPr>
                <w:b/>
                <w:sz w:val="22"/>
                <w:szCs w:val="22"/>
              </w:rPr>
            </w:pPr>
            <w:r>
              <w:rPr>
                <w:b/>
                <w:sz w:val="22"/>
                <w:szCs w:val="22"/>
              </w:rPr>
              <w:t>CATEGORIA</w:t>
            </w:r>
          </w:p>
        </w:tc>
        <w:tc>
          <w:tcPr>
            <w:tcW w:w="1917" w:type="dxa"/>
            <w:tcBorders>
              <w:top w:val="single" w:sz="4" w:space="0" w:color="000000"/>
              <w:left w:val="nil"/>
              <w:bottom w:val="single" w:sz="4" w:space="0" w:color="000000"/>
              <w:right w:val="single" w:sz="4" w:space="0" w:color="000000"/>
            </w:tcBorders>
            <w:shd w:val="clear" w:color="auto" w:fill="auto"/>
            <w:vAlign w:val="center"/>
          </w:tcPr>
          <w:p w14:paraId="000002F9" w14:textId="77777777" w:rsidR="00663CDF" w:rsidRDefault="00F71B39">
            <w:pPr>
              <w:pStyle w:val="Normal0"/>
              <w:spacing w:line="360" w:lineRule="auto"/>
              <w:jc w:val="center"/>
              <w:rPr>
                <w:b/>
                <w:sz w:val="22"/>
                <w:szCs w:val="22"/>
              </w:rPr>
            </w:pPr>
            <w:r>
              <w:rPr>
                <w:b/>
                <w:sz w:val="22"/>
                <w:szCs w:val="22"/>
              </w:rPr>
              <w:t>RESOLUCION</w:t>
            </w:r>
          </w:p>
        </w:tc>
        <w:tc>
          <w:tcPr>
            <w:tcW w:w="1891" w:type="dxa"/>
            <w:tcBorders>
              <w:top w:val="single" w:sz="4" w:space="0" w:color="000000"/>
              <w:left w:val="nil"/>
              <w:bottom w:val="single" w:sz="4" w:space="0" w:color="000000"/>
              <w:right w:val="single" w:sz="4" w:space="0" w:color="000000"/>
            </w:tcBorders>
            <w:shd w:val="clear" w:color="auto" w:fill="auto"/>
            <w:vAlign w:val="center"/>
          </w:tcPr>
          <w:p w14:paraId="000002FA" w14:textId="77777777" w:rsidR="00663CDF" w:rsidRDefault="00F71B39">
            <w:pPr>
              <w:pStyle w:val="Normal0"/>
              <w:spacing w:line="360" w:lineRule="auto"/>
              <w:jc w:val="center"/>
              <w:rPr>
                <w:b/>
                <w:sz w:val="22"/>
                <w:szCs w:val="22"/>
              </w:rPr>
            </w:pPr>
            <w:r>
              <w:rPr>
                <w:b/>
                <w:sz w:val="22"/>
                <w:szCs w:val="22"/>
              </w:rPr>
              <w:t>FECHA RESOLUCION</w:t>
            </w:r>
          </w:p>
        </w:tc>
      </w:tr>
      <w:tr w:rsidR="00663CDF" w14:paraId="14E9EB57"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2FB"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2FC" w14:textId="77777777" w:rsidR="00663CDF" w:rsidRDefault="00F71B39">
            <w:pPr>
              <w:pStyle w:val="Normal0"/>
              <w:spacing w:line="360" w:lineRule="auto"/>
              <w:jc w:val="center"/>
              <w:rPr>
                <w:sz w:val="22"/>
                <w:szCs w:val="22"/>
              </w:rPr>
            </w:pPr>
            <w:r>
              <w:rPr>
                <w:sz w:val="22"/>
                <w:szCs w:val="22"/>
              </w:rPr>
              <w:t>2016</w:t>
            </w:r>
          </w:p>
        </w:tc>
        <w:tc>
          <w:tcPr>
            <w:tcW w:w="1683" w:type="dxa"/>
            <w:tcBorders>
              <w:top w:val="nil"/>
              <w:left w:val="nil"/>
              <w:bottom w:val="single" w:sz="4" w:space="0" w:color="000000"/>
              <w:right w:val="single" w:sz="4" w:space="0" w:color="000000"/>
            </w:tcBorders>
            <w:shd w:val="clear" w:color="auto" w:fill="auto"/>
            <w:vAlign w:val="center"/>
          </w:tcPr>
          <w:p w14:paraId="000002FD" w14:textId="77777777" w:rsidR="00663CDF" w:rsidRDefault="00F71B39">
            <w:pPr>
              <w:pStyle w:val="Normal0"/>
              <w:spacing w:line="360" w:lineRule="auto"/>
              <w:jc w:val="center"/>
              <w:rPr>
                <w:sz w:val="22"/>
                <w:szCs w:val="22"/>
              </w:rPr>
            </w:pPr>
            <w:r>
              <w:rPr>
                <w:sz w:val="22"/>
                <w:szCs w:val="22"/>
              </w:rPr>
              <w:t>5</w:t>
            </w:r>
          </w:p>
        </w:tc>
        <w:tc>
          <w:tcPr>
            <w:tcW w:w="1917" w:type="dxa"/>
            <w:tcBorders>
              <w:top w:val="nil"/>
              <w:left w:val="nil"/>
              <w:bottom w:val="single" w:sz="4" w:space="0" w:color="000000"/>
              <w:right w:val="single" w:sz="4" w:space="0" w:color="000000"/>
            </w:tcBorders>
            <w:shd w:val="clear" w:color="auto" w:fill="auto"/>
            <w:vAlign w:val="center"/>
          </w:tcPr>
          <w:p w14:paraId="000002FE" w14:textId="77777777" w:rsidR="00663CDF" w:rsidRDefault="00F71B39">
            <w:pPr>
              <w:pStyle w:val="Normal0"/>
              <w:spacing w:line="360" w:lineRule="auto"/>
              <w:jc w:val="center"/>
              <w:rPr>
                <w:sz w:val="22"/>
                <w:szCs w:val="22"/>
              </w:rPr>
            </w:pPr>
            <w:r>
              <w:rPr>
                <w:sz w:val="22"/>
                <w:szCs w:val="22"/>
              </w:rPr>
              <w:t>679</w:t>
            </w:r>
          </w:p>
        </w:tc>
        <w:tc>
          <w:tcPr>
            <w:tcW w:w="1891" w:type="dxa"/>
            <w:tcBorders>
              <w:top w:val="nil"/>
              <w:left w:val="nil"/>
              <w:bottom w:val="single" w:sz="4" w:space="0" w:color="000000"/>
              <w:right w:val="single" w:sz="4" w:space="0" w:color="000000"/>
            </w:tcBorders>
            <w:shd w:val="clear" w:color="auto" w:fill="auto"/>
            <w:vAlign w:val="center"/>
          </w:tcPr>
          <w:p w14:paraId="000002FF" w14:textId="77777777" w:rsidR="00663CDF" w:rsidRDefault="00F71B39">
            <w:pPr>
              <w:pStyle w:val="Normal0"/>
              <w:spacing w:line="360" w:lineRule="auto"/>
              <w:jc w:val="center"/>
              <w:rPr>
                <w:sz w:val="22"/>
                <w:szCs w:val="22"/>
              </w:rPr>
            </w:pPr>
            <w:r>
              <w:rPr>
                <w:sz w:val="22"/>
                <w:szCs w:val="22"/>
              </w:rPr>
              <w:t>28/11/2015</w:t>
            </w:r>
          </w:p>
        </w:tc>
      </w:tr>
      <w:tr w:rsidR="00663CDF" w14:paraId="7EC88ECD"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00"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01" w14:textId="77777777" w:rsidR="00663CDF" w:rsidRDefault="00F71B39">
            <w:pPr>
              <w:pStyle w:val="Normal0"/>
              <w:spacing w:line="360" w:lineRule="auto"/>
              <w:jc w:val="center"/>
              <w:rPr>
                <w:sz w:val="22"/>
                <w:szCs w:val="22"/>
              </w:rPr>
            </w:pPr>
            <w:r>
              <w:rPr>
                <w:sz w:val="22"/>
                <w:szCs w:val="22"/>
              </w:rPr>
              <w:t>2017</w:t>
            </w:r>
          </w:p>
        </w:tc>
        <w:tc>
          <w:tcPr>
            <w:tcW w:w="1683" w:type="dxa"/>
            <w:tcBorders>
              <w:top w:val="nil"/>
              <w:left w:val="nil"/>
              <w:bottom w:val="single" w:sz="4" w:space="0" w:color="000000"/>
              <w:right w:val="single" w:sz="4" w:space="0" w:color="000000"/>
            </w:tcBorders>
            <w:shd w:val="clear" w:color="auto" w:fill="auto"/>
            <w:vAlign w:val="center"/>
          </w:tcPr>
          <w:p w14:paraId="00000302" w14:textId="77777777" w:rsidR="00663CDF" w:rsidRDefault="00F71B39">
            <w:pPr>
              <w:pStyle w:val="Normal0"/>
              <w:spacing w:line="360" w:lineRule="auto"/>
              <w:jc w:val="center"/>
              <w:rPr>
                <w:sz w:val="22"/>
                <w:szCs w:val="22"/>
              </w:rPr>
            </w:pPr>
            <w:r>
              <w:rPr>
                <w:sz w:val="22"/>
                <w:szCs w:val="22"/>
              </w:rPr>
              <w:t>5</w:t>
            </w:r>
          </w:p>
        </w:tc>
        <w:tc>
          <w:tcPr>
            <w:tcW w:w="1917" w:type="dxa"/>
            <w:tcBorders>
              <w:top w:val="nil"/>
              <w:left w:val="nil"/>
              <w:bottom w:val="single" w:sz="4" w:space="0" w:color="000000"/>
              <w:right w:val="single" w:sz="4" w:space="0" w:color="000000"/>
            </w:tcBorders>
            <w:shd w:val="clear" w:color="auto" w:fill="auto"/>
            <w:vAlign w:val="center"/>
          </w:tcPr>
          <w:p w14:paraId="00000303" w14:textId="77777777" w:rsidR="00663CDF" w:rsidRDefault="00F71B39">
            <w:pPr>
              <w:pStyle w:val="Normal0"/>
              <w:spacing w:line="360" w:lineRule="auto"/>
              <w:jc w:val="center"/>
              <w:rPr>
                <w:sz w:val="22"/>
                <w:szCs w:val="22"/>
              </w:rPr>
            </w:pPr>
            <w:r>
              <w:rPr>
                <w:sz w:val="22"/>
                <w:szCs w:val="22"/>
              </w:rPr>
              <w:t>593</w:t>
            </w:r>
          </w:p>
        </w:tc>
        <w:tc>
          <w:tcPr>
            <w:tcW w:w="1891" w:type="dxa"/>
            <w:tcBorders>
              <w:top w:val="nil"/>
              <w:left w:val="nil"/>
              <w:bottom w:val="single" w:sz="4" w:space="0" w:color="000000"/>
              <w:right w:val="single" w:sz="4" w:space="0" w:color="000000"/>
            </w:tcBorders>
            <w:shd w:val="clear" w:color="auto" w:fill="auto"/>
            <w:vAlign w:val="center"/>
          </w:tcPr>
          <w:p w14:paraId="00000304" w14:textId="77777777" w:rsidR="00663CDF" w:rsidRDefault="00F71B39">
            <w:pPr>
              <w:pStyle w:val="Normal0"/>
              <w:spacing w:line="360" w:lineRule="auto"/>
              <w:jc w:val="center"/>
              <w:rPr>
                <w:sz w:val="22"/>
                <w:szCs w:val="22"/>
              </w:rPr>
            </w:pPr>
            <w:r>
              <w:rPr>
                <w:sz w:val="22"/>
                <w:szCs w:val="22"/>
              </w:rPr>
              <w:t>28/11/2015</w:t>
            </w:r>
          </w:p>
        </w:tc>
      </w:tr>
      <w:tr w:rsidR="00663CDF" w14:paraId="1752D7B3"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05"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06" w14:textId="77777777" w:rsidR="00663CDF" w:rsidRDefault="00F71B39">
            <w:pPr>
              <w:pStyle w:val="Normal0"/>
              <w:spacing w:line="360" w:lineRule="auto"/>
              <w:jc w:val="center"/>
              <w:rPr>
                <w:sz w:val="22"/>
                <w:szCs w:val="22"/>
              </w:rPr>
            </w:pPr>
            <w:r>
              <w:rPr>
                <w:sz w:val="22"/>
                <w:szCs w:val="22"/>
              </w:rPr>
              <w:t>2018</w:t>
            </w:r>
          </w:p>
        </w:tc>
        <w:tc>
          <w:tcPr>
            <w:tcW w:w="1683" w:type="dxa"/>
            <w:tcBorders>
              <w:top w:val="nil"/>
              <w:left w:val="nil"/>
              <w:bottom w:val="single" w:sz="4" w:space="0" w:color="000000"/>
              <w:right w:val="single" w:sz="4" w:space="0" w:color="000000"/>
            </w:tcBorders>
            <w:shd w:val="clear" w:color="auto" w:fill="auto"/>
            <w:vAlign w:val="center"/>
          </w:tcPr>
          <w:p w14:paraId="00000307" w14:textId="77777777" w:rsidR="00663CDF" w:rsidRDefault="00F71B39">
            <w:pPr>
              <w:pStyle w:val="Normal0"/>
              <w:spacing w:line="360" w:lineRule="auto"/>
              <w:jc w:val="center"/>
              <w:rPr>
                <w:sz w:val="22"/>
                <w:szCs w:val="22"/>
              </w:rPr>
            </w:pPr>
            <w:r>
              <w:rPr>
                <w:sz w:val="22"/>
                <w:szCs w:val="22"/>
              </w:rPr>
              <w:t>5</w:t>
            </w:r>
          </w:p>
        </w:tc>
        <w:tc>
          <w:tcPr>
            <w:tcW w:w="1917" w:type="dxa"/>
            <w:tcBorders>
              <w:top w:val="nil"/>
              <w:left w:val="nil"/>
              <w:bottom w:val="single" w:sz="4" w:space="0" w:color="000000"/>
              <w:right w:val="single" w:sz="4" w:space="0" w:color="000000"/>
            </w:tcBorders>
            <w:shd w:val="clear" w:color="auto" w:fill="auto"/>
            <w:vAlign w:val="center"/>
          </w:tcPr>
          <w:p w14:paraId="00000308" w14:textId="77777777" w:rsidR="00663CDF" w:rsidRDefault="00F71B39">
            <w:pPr>
              <w:pStyle w:val="Normal0"/>
              <w:spacing w:line="360" w:lineRule="auto"/>
              <w:jc w:val="center"/>
              <w:rPr>
                <w:sz w:val="22"/>
                <w:szCs w:val="22"/>
              </w:rPr>
            </w:pPr>
            <w:r>
              <w:rPr>
                <w:sz w:val="22"/>
                <w:szCs w:val="22"/>
              </w:rPr>
              <w:t>556</w:t>
            </w:r>
          </w:p>
        </w:tc>
        <w:tc>
          <w:tcPr>
            <w:tcW w:w="1891" w:type="dxa"/>
            <w:tcBorders>
              <w:top w:val="nil"/>
              <w:left w:val="nil"/>
              <w:bottom w:val="single" w:sz="4" w:space="0" w:color="000000"/>
              <w:right w:val="single" w:sz="4" w:space="0" w:color="000000"/>
            </w:tcBorders>
            <w:shd w:val="clear" w:color="auto" w:fill="auto"/>
            <w:vAlign w:val="center"/>
          </w:tcPr>
          <w:p w14:paraId="00000309" w14:textId="77777777" w:rsidR="00663CDF" w:rsidRDefault="00F71B39">
            <w:pPr>
              <w:pStyle w:val="Normal0"/>
              <w:spacing w:line="360" w:lineRule="auto"/>
              <w:jc w:val="center"/>
              <w:rPr>
                <w:sz w:val="22"/>
                <w:szCs w:val="22"/>
              </w:rPr>
            </w:pPr>
            <w:r>
              <w:rPr>
                <w:sz w:val="22"/>
                <w:szCs w:val="22"/>
              </w:rPr>
              <w:t>28/11/2018</w:t>
            </w:r>
          </w:p>
        </w:tc>
      </w:tr>
      <w:tr w:rsidR="00663CDF" w14:paraId="43AF6262"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0A"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0B" w14:textId="77777777" w:rsidR="00663CDF" w:rsidRDefault="00F71B39">
            <w:pPr>
              <w:pStyle w:val="Normal0"/>
              <w:spacing w:line="360" w:lineRule="auto"/>
              <w:jc w:val="center"/>
              <w:rPr>
                <w:sz w:val="22"/>
                <w:szCs w:val="22"/>
              </w:rPr>
            </w:pPr>
            <w:r>
              <w:rPr>
                <w:sz w:val="22"/>
                <w:szCs w:val="22"/>
              </w:rPr>
              <w:t>2019</w:t>
            </w:r>
          </w:p>
        </w:tc>
        <w:tc>
          <w:tcPr>
            <w:tcW w:w="1683" w:type="dxa"/>
            <w:tcBorders>
              <w:top w:val="nil"/>
              <w:left w:val="nil"/>
              <w:bottom w:val="single" w:sz="4" w:space="0" w:color="000000"/>
              <w:right w:val="single" w:sz="4" w:space="0" w:color="000000"/>
            </w:tcBorders>
            <w:shd w:val="clear" w:color="auto" w:fill="auto"/>
            <w:vAlign w:val="center"/>
          </w:tcPr>
          <w:p w14:paraId="0000030C" w14:textId="77777777" w:rsidR="00663CDF" w:rsidRDefault="00F71B39">
            <w:pPr>
              <w:pStyle w:val="Normal0"/>
              <w:spacing w:line="360" w:lineRule="auto"/>
              <w:jc w:val="center"/>
              <w:rPr>
                <w:sz w:val="22"/>
                <w:szCs w:val="22"/>
              </w:rPr>
            </w:pPr>
            <w:r>
              <w:rPr>
                <w:sz w:val="22"/>
                <w:szCs w:val="22"/>
              </w:rPr>
              <w:t>5</w:t>
            </w:r>
          </w:p>
        </w:tc>
        <w:tc>
          <w:tcPr>
            <w:tcW w:w="1917" w:type="dxa"/>
            <w:tcBorders>
              <w:top w:val="nil"/>
              <w:left w:val="nil"/>
              <w:bottom w:val="single" w:sz="4" w:space="0" w:color="000000"/>
              <w:right w:val="single" w:sz="4" w:space="0" w:color="000000"/>
            </w:tcBorders>
            <w:shd w:val="clear" w:color="auto" w:fill="auto"/>
            <w:vAlign w:val="center"/>
          </w:tcPr>
          <w:p w14:paraId="0000030D" w14:textId="77777777" w:rsidR="00663CDF" w:rsidRDefault="00F71B39">
            <w:pPr>
              <w:pStyle w:val="Normal0"/>
              <w:spacing w:line="360" w:lineRule="auto"/>
              <w:jc w:val="center"/>
              <w:rPr>
                <w:sz w:val="22"/>
                <w:szCs w:val="22"/>
              </w:rPr>
            </w:pPr>
            <w:r>
              <w:rPr>
                <w:sz w:val="22"/>
                <w:szCs w:val="22"/>
              </w:rPr>
              <w:t>400</w:t>
            </w:r>
          </w:p>
        </w:tc>
        <w:tc>
          <w:tcPr>
            <w:tcW w:w="1891" w:type="dxa"/>
            <w:tcBorders>
              <w:top w:val="nil"/>
              <w:left w:val="nil"/>
              <w:bottom w:val="single" w:sz="4" w:space="0" w:color="000000"/>
              <w:right w:val="single" w:sz="4" w:space="0" w:color="000000"/>
            </w:tcBorders>
            <w:shd w:val="clear" w:color="auto" w:fill="auto"/>
            <w:vAlign w:val="center"/>
          </w:tcPr>
          <w:p w14:paraId="0000030E" w14:textId="77777777" w:rsidR="00663CDF" w:rsidRDefault="00F71B39">
            <w:pPr>
              <w:pStyle w:val="Normal0"/>
              <w:spacing w:line="360" w:lineRule="auto"/>
              <w:jc w:val="center"/>
              <w:rPr>
                <w:sz w:val="22"/>
                <w:szCs w:val="22"/>
              </w:rPr>
            </w:pPr>
            <w:r>
              <w:rPr>
                <w:sz w:val="22"/>
                <w:szCs w:val="22"/>
              </w:rPr>
              <w:t>29/11/2019</w:t>
            </w:r>
          </w:p>
        </w:tc>
      </w:tr>
      <w:tr w:rsidR="00663CDF" w14:paraId="6AAF4CA8"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0F"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10" w14:textId="77777777" w:rsidR="00663CDF" w:rsidRDefault="00F71B39">
            <w:pPr>
              <w:pStyle w:val="Normal0"/>
              <w:spacing w:line="360" w:lineRule="auto"/>
              <w:jc w:val="center"/>
              <w:rPr>
                <w:sz w:val="22"/>
                <w:szCs w:val="22"/>
              </w:rPr>
            </w:pPr>
            <w:r>
              <w:rPr>
                <w:sz w:val="22"/>
                <w:szCs w:val="22"/>
              </w:rPr>
              <w:t>2020</w:t>
            </w:r>
          </w:p>
        </w:tc>
        <w:tc>
          <w:tcPr>
            <w:tcW w:w="1683" w:type="dxa"/>
            <w:tcBorders>
              <w:top w:val="nil"/>
              <w:left w:val="nil"/>
              <w:bottom w:val="single" w:sz="4" w:space="0" w:color="000000"/>
              <w:right w:val="single" w:sz="4" w:space="0" w:color="000000"/>
            </w:tcBorders>
            <w:shd w:val="clear" w:color="auto" w:fill="auto"/>
            <w:vAlign w:val="center"/>
          </w:tcPr>
          <w:p w14:paraId="00000311" w14:textId="77777777" w:rsidR="00663CDF" w:rsidRDefault="00F71B39">
            <w:pPr>
              <w:pStyle w:val="Normal0"/>
              <w:spacing w:line="360" w:lineRule="auto"/>
              <w:jc w:val="center"/>
              <w:rPr>
                <w:sz w:val="22"/>
                <w:szCs w:val="22"/>
              </w:rPr>
            </w:pPr>
            <w:r>
              <w:rPr>
                <w:sz w:val="22"/>
                <w:szCs w:val="22"/>
              </w:rPr>
              <w:t>4</w:t>
            </w:r>
          </w:p>
        </w:tc>
        <w:tc>
          <w:tcPr>
            <w:tcW w:w="1917" w:type="dxa"/>
            <w:tcBorders>
              <w:top w:val="nil"/>
              <w:left w:val="nil"/>
              <w:bottom w:val="single" w:sz="4" w:space="0" w:color="000000"/>
              <w:right w:val="single" w:sz="4" w:space="0" w:color="000000"/>
            </w:tcBorders>
            <w:shd w:val="clear" w:color="auto" w:fill="auto"/>
            <w:vAlign w:val="center"/>
          </w:tcPr>
          <w:p w14:paraId="00000312" w14:textId="77777777" w:rsidR="00663CDF" w:rsidRDefault="00F71B39">
            <w:pPr>
              <w:pStyle w:val="Normal0"/>
              <w:spacing w:line="360" w:lineRule="auto"/>
              <w:jc w:val="center"/>
              <w:rPr>
                <w:sz w:val="22"/>
                <w:szCs w:val="22"/>
              </w:rPr>
            </w:pPr>
            <w:r>
              <w:rPr>
                <w:sz w:val="22"/>
                <w:szCs w:val="22"/>
              </w:rPr>
              <w:t>190</w:t>
            </w:r>
          </w:p>
        </w:tc>
        <w:tc>
          <w:tcPr>
            <w:tcW w:w="1891" w:type="dxa"/>
            <w:tcBorders>
              <w:top w:val="nil"/>
              <w:left w:val="nil"/>
              <w:bottom w:val="single" w:sz="4" w:space="0" w:color="000000"/>
              <w:right w:val="single" w:sz="4" w:space="0" w:color="000000"/>
            </w:tcBorders>
            <w:shd w:val="clear" w:color="auto" w:fill="auto"/>
            <w:vAlign w:val="center"/>
          </w:tcPr>
          <w:p w14:paraId="00000313" w14:textId="77777777" w:rsidR="00663CDF" w:rsidRDefault="00F71B39">
            <w:pPr>
              <w:pStyle w:val="Normal0"/>
              <w:spacing w:line="360" w:lineRule="auto"/>
              <w:jc w:val="center"/>
              <w:rPr>
                <w:sz w:val="22"/>
                <w:szCs w:val="22"/>
              </w:rPr>
            </w:pPr>
            <w:r>
              <w:rPr>
                <w:sz w:val="22"/>
                <w:szCs w:val="22"/>
              </w:rPr>
              <w:t>29/11/2020</w:t>
            </w:r>
          </w:p>
        </w:tc>
      </w:tr>
      <w:tr w:rsidR="00663CDF" w14:paraId="53E787CF"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14"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15" w14:textId="77777777" w:rsidR="00663CDF" w:rsidRDefault="00F71B39">
            <w:pPr>
              <w:pStyle w:val="Normal0"/>
              <w:spacing w:line="360" w:lineRule="auto"/>
              <w:jc w:val="center"/>
              <w:rPr>
                <w:sz w:val="22"/>
                <w:szCs w:val="22"/>
              </w:rPr>
            </w:pPr>
            <w:r>
              <w:rPr>
                <w:sz w:val="22"/>
                <w:szCs w:val="22"/>
              </w:rPr>
              <w:t>2021</w:t>
            </w:r>
          </w:p>
        </w:tc>
        <w:tc>
          <w:tcPr>
            <w:tcW w:w="1683" w:type="dxa"/>
            <w:tcBorders>
              <w:top w:val="nil"/>
              <w:left w:val="nil"/>
              <w:bottom w:val="single" w:sz="4" w:space="0" w:color="000000"/>
              <w:right w:val="single" w:sz="4" w:space="0" w:color="000000"/>
            </w:tcBorders>
            <w:shd w:val="clear" w:color="auto" w:fill="auto"/>
            <w:vAlign w:val="center"/>
          </w:tcPr>
          <w:p w14:paraId="00000316" w14:textId="77777777" w:rsidR="00663CDF" w:rsidRDefault="00F71B39">
            <w:pPr>
              <w:pStyle w:val="Normal0"/>
              <w:spacing w:line="360" w:lineRule="auto"/>
              <w:jc w:val="center"/>
              <w:rPr>
                <w:sz w:val="22"/>
                <w:szCs w:val="22"/>
              </w:rPr>
            </w:pPr>
            <w:r>
              <w:rPr>
                <w:sz w:val="22"/>
                <w:szCs w:val="22"/>
              </w:rPr>
              <w:t>4</w:t>
            </w:r>
          </w:p>
        </w:tc>
        <w:tc>
          <w:tcPr>
            <w:tcW w:w="1917" w:type="dxa"/>
            <w:tcBorders>
              <w:top w:val="nil"/>
              <w:left w:val="nil"/>
              <w:bottom w:val="single" w:sz="4" w:space="0" w:color="000000"/>
              <w:right w:val="single" w:sz="4" w:space="0" w:color="000000"/>
            </w:tcBorders>
            <w:shd w:val="clear" w:color="auto" w:fill="auto"/>
            <w:vAlign w:val="center"/>
          </w:tcPr>
          <w:p w14:paraId="00000317" w14:textId="77777777" w:rsidR="00663CDF" w:rsidRDefault="00F71B39">
            <w:pPr>
              <w:pStyle w:val="Normal0"/>
              <w:spacing w:line="360" w:lineRule="auto"/>
              <w:jc w:val="center"/>
              <w:rPr>
                <w:sz w:val="22"/>
                <w:szCs w:val="22"/>
              </w:rPr>
            </w:pPr>
            <w:r>
              <w:rPr>
                <w:sz w:val="22"/>
                <w:szCs w:val="22"/>
              </w:rPr>
              <w:t>207</w:t>
            </w:r>
          </w:p>
        </w:tc>
        <w:tc>
          <w:tcPr>
            <w:tcW w:w="1891" w:type="dxa"/>
            <w:tcBorders>
              <w:top w:val="nil"/>
              <w:left w:val="nil"/>
              <w:bottom w:val="single" w:sz="4" w:space="0" w:color="000000"/>
              <w:right w:val="single" w:sz="4" w:space="0" w:color="000000"/>
            </w:tcBorders>
            <w:shd w:val="clear" w:color="auto" w:fill="auto"/>
            <w:vAlign w:val="center"/>
          </w:tcPr>
          <w:p w14:paraId="00000318" w14:textId="77777777" w:rsidR="00663CDF" w:rsidRDefault="00F71B39">
            <w:pPr>
              <w:pStyle w:val="Normal0"/>
              <w:spacing w:line="360" w:lineRule="auto"/>
              <w:jc w:val="center"/>
              <w:rPr>
                <w:sz w:val="22"/>
                <w:szCs w:val="22"/>
              </w:rPr>
            </w:pPr>
            <w:r>
              <w:rPr>
                <w:sz w:val="22"/>
                <w:szCs w:val="22"/>
              </w:rPr>
              <w:t>30/11/2020</w:t>
            </w:r>
          </w:p>
        </w:tc>
      </w:tr>
      <w:tr w:rsidR="00663CDF" w14:paraId="4AFAF1B2"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19"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1A" w14:textId="77777777" w:rsidR="00663CDF" w:rsidRDefault="00F71B39">
            <w:pPr>
              <w:pStyle w:val="Normal0"/>
              <w:spacing w:line="360" w:lineRule="auto"/>
              <w:jc w:val="center"/>
              <w:rPr>
                <w:sz w:val="22"/>
                <w:szCs w:val="22"/>
              </w:rPr>
            </w:pPr>
            <w:r>
              <w:rPr>
                <w:sz w:val="22"/>
                <w:szCs w:val="22"/>
              </w:rPr>
              <w:t>2022</w:t>
            </w:r>
          </w:p>
        </w:tc>
        <w:tc>
          <w:tcPr>
            <w:tcW w:w="1683" w:type="dxa"/>
            <w:tcBorders>
              <w:top w:val="nil"/>
              <w:left w:val="nil"/>
              <w:bottom w:val="single" w:sz="4" w:space="0" w:color="000000"/>
              <w:right w:val="single" w:sz="4" w:space="0" w:color="000000"/>
            </w:tcBorders>
            <w:shd w:val="clear" w:color="auto" w:fill="auto"/>
            <w:vAlign w:val="center"/>
          </w:tcPr>
          <w:p w14:paraId="0000031B" w14:textId="77777777" w:rsidR="00663CDF" w:rsidRDefault="00F71B39">
            <w:pPr>
              <w:pStyle w:val="Normal0"/>
              <w:spacing w:line="360" w:lineRule="auto"/>
              <w:jc w:val="center"/>
              <w:rPr>
                <w:sz w:val="22"/>
                <w:szCs w:val="22"/>
              </w:rPr>
            </w:pPr>
            <w:r>
              <w:rPr>
                <w:sz w:val="22"/>
                <w:szCs w:val="22"/>
              </w:rPr>
              <w:t>3</w:t>
            </w:r>
          </w:p>
        </w:tc>
        <w:tc>
          <w:tcPr>
            <w:tcW w:w="1917" w:type="dxa"/>
            <w:tcBorders>
              <w:top w:val="nil"/>
              <w:left w:val="nil"/>
              <w:bottom w:val="single" w:sz="4" w:space="0" w:color="000000"/>
              <w:right w:val="single" w:sz="4" w:space="0" w:color="000000"/>
            </w:tcBorders>
            <w:shd w:val="clear" w:color="auto" w:fill="auto"/>
            <w:vAlign w:val="center"/>
          </w:tcPr>
          <w:p w14:paraId="0000031C" w14:textId="77777777" w:rsidR="00663CDF" w:rsidRDefault="00F71B39">
            <w:pPr>
              <w:pStyle w:val="Normal0"/>
              <w:spacing w:line="360" w:lineRule="auto"/>
              <w:jc w:val="center"/>
              <w:rPr>
                <w:sz w:val="22"/>
                <w:szCs w:val="22"/>
              </w:rPr>
            </w:pPr>
            <w:r>
              <w:rPr>
                <w:sz w:val="22"/>
                <w:szCs w:val="22"/>
              </w:rPr>
              <w:t>314</w:t>
            </w:r>
          </w:p>
        </w:tc>
        <w:tc>
          <w:tcPr>
            <w:tcW w:w="1891" w:type="dxa"/>
            <w:tcBorders>
              <w:top w:val="nil"/>
              <w:left w:val="nil"/>
              <w:bottom w:val="single" w:sz="4" w:space="0" w:color="000000"/>
              <w:right w:val="single" w:sz="4" w:space="0" w:color="000000"/>
            </w:tcBorders>
            <w:shd w:val="clear" w:color="auto" w:fill="auto"/>
            <w:vAlign w:val="center"/>
          </w:tcPr>
          <w:p w14:paraId="0000031D" w14:textId="77777777" w:rsidR="00663CDF" w:rsidRDefault="00F71B39">
            <w:pPr>
              <w:pStyle w:val="Normal0"/>
              <w:spacing w:line="360" w:lineRule="auto"/>
              <w:jc w:val="center"/>
              <w:rPr>
                <w:sz w:val="22"/>
                <w:szCs w:val="22"/>
              </w:rPr>
            </w:pPr>
            <w:r>
              <w:rPr>
                <w:sz w:val="22"/>
                <w:szCs w:val="22"/>
              </w:rPr>
              <w:t>30/11/2022</w:t>
            </w:r>
          </w:p>
        </w:tc>
      </w:tr>
      <w:tr w:rsidR="00663CDF" w14:paraId="700B3E2B" w14:textId="77777777">
        <w:trPr>
          <w:trHeight w:val="300"/>
        </w:trPr>
        <w:tc>
          <w:tcPr>
            <w:tcW w:w="1669" w:type="dxa"/>
            <w:tcBorders>
              <w:top w:val="nil"/>
              <w:left w:val="single" w:sz="4" w:space="0" w:color="000000"/>
              <w:bottom w:val="single" w:sz="4" w:space="0" w:color="000000"/>
              <w:right w:val="single" w:sz="4" w:space="0" w:color="000000"/>
            </w:tcBorders>
            <w:shd w:val="clear" w:color="auto" w:fill="auto"/>
            <w:vAlign w:val="center"/>
          </w:tcPr>
          <w:p w14:paraId="0000031E" w14:textId="77777777" w:rsidR="00663CDF" w:rsidRDefault="00F71B39">
            <w:pPr>
              <w:pStyle w:val="Normal0"/>
              <w:spacing w:line="360" w:lineRule="auto"/>
              <w:jc w:val="center"/>
              <w:rPr>
                <w:sz w:val="22"/>
                <w:szCs w:val="22"/>
              </w:rPr>
            </w:pPr>
            <w:r>
              <w:rPr>
                <w:sz w:val="22"/>
                <w:szCs w:val="22"/>
              </w:rPr>
              <w:t>213613836</w:t>
            </w:r>
          </w:p>
        </w:tc>
        <w:tc>
          <w:tcPr>
            <w:tcW w:w="1668" w:type="dxa"/>
            <w:tcBorders>
              <w:top w:val="nil"/>
              <w:left w:val="nil"/>
              <w:bottom w:val="single" w:sz="4" w:space="0" w:color="000000"/>
              <w:right w:val="single" w:sz="4" w:space="0" w:color="000000"/>
            </w:tcBorders>
            <w:shd w:val="clear" w:color="auto" w:fill="auto"/>
            <w:vAlign w:val="center"/>
          </w:tcPr>
          <w:p w14:paraId="0000031F" w14:textId="77777777" w:rsidR="00663CDF" w:rsidRDefault="00F71B39">
            <w:pPr>
              <w:pStyle w:val="Normal0"/>
              <w:spacing w:line="360" w:lineRule="auto"/>
              <w:jc w:val="center"/>
              <w:rPr>
                <w:sz w:val="22"/>
                <w:szCs w:val="22"/>
              </w:rPr>
            </w:pPr>
            <w:r>
              <w:rPr>
                <w:sz w:val="22"/>
                <w:szCs w:val="22"/>
              </w:rPr>
              <w:t>2023</w:t>
            </w:r>
          </w:p>
        </w:tc>
        <w:tc>
          <w:tcPr>
            <w:tcW w:w="1683" w:type="dxa"/>
            <w:tcBorders>
              <w:top w:val="nil"/>
              <w:left w:val="nil"/>
              <w:bottom w:val="single" w:sz="4" w:space="0" w:color="000000"/>
              <w:right w:val="single" w:sz="4" w:space="0" w:color="000000"/>
            </w:tcBorders>
            <w:shd w:val="clear" w:color="auto" w:fill="auto"/>
            <w:vAlign w:val="center"/>
          </w:tcPr>
          <w:p w14:paraId="00000320" w14:textId="77777777" w:rsidR="00663CDF" w:rsidRDefault="00F71B39">
            <w:pPr>
              <w:pStyle w:val="Normal0"/>
              <w:spacing w:line="360" w:lineRule="auto"/>
              <w:jc w:val="center"/>
              <w:rPr>
                <w:sz w:val="22"/>
                <w:szCs w:val="22"/>
              </w:rPr>
            </w:pPr>
            <w:r>
              <w:rPr>
                <w:sz w:val="22"/>
                <w:szCs w:val="22"/>
              </w:rPr>
              <w:t>3</w:t>
            </w:r>
          </w:p>
        </w:tc>
        <w:tc>
          <w:tcPr>
            <w:tcW w:w="1917" w:type="dxa"/>
            <w:tcBorders>
              <w:top w:val="nil"/>
              <w:left w:val="nil"/>
              <w:bottom w:val="single" w:sz="4" w:space="0" w:color="000000"/>
              <w:right w:val="single" w:sz="4" w:space="0" w:color="000000"/>
            </w:tcBorders>
            <w:shd w:val="clear" w:color="auto" w:fill="auto"/>
            <w:vAlign w:val="center"/>
          </w:tcPr>
          <w:p w14:paraId="00000321" w14:textId="77777777" w:rsidR="00663CDF" w:rsidRDefault="00F71B39">
            <w:pPr>
              <w:pStyle w:val="Normal0"/>
              <w:spacing w:line="360" w:lineRule="auto"/>
              <w:jc w:val="center"/>
              <w:rPr>
                <w:sz w:val="22"/>
                <w:szCs w:val="22"/>
              </w:rPr>
            </w:pPr>
            <w:r>
              <w:rPr>
                <w:sz w:val="22"/>
                <w:szCs w:val="22"/>
              </w:rPr>
              <w:t>410</w:t>
            </w:r>
          </w:p>
        </w:tc>
        <w:tc>
          <w:tcPr>
            <w:tcW w:w="1891" w:type="dxa"/>
            <w:tcBorders>
              <w:top w:val="nil"/>
              <w:left w:val="nil"/>
              <w:bottom w:val="single" w:sz="4" w:space="0" w:color="000000"/>
              <w:right w:val="single" w:sz="4" w:space="0" w:color="000000"/>
            </w:tcBorders>
            <w:shd w:val="clear" w:color="auto" w:fill="auto"/>
            <w:vAlign w:val="center"/>
          </w:tcPr>
          <w:p w14:paraId="00000322" w14:textId="77777777" w:rsidR="00663CDF" w:rsidRDefault="00F71B39">
            <w:pPr>
              <w:pStyle w:val="Normal0"/>
              <w:spacing w:line="360" w:lineRule="auto"/>
              <w:jc w:val="center"/>
              <w:rPr>
                <w:sz w:val="22"/>
                <w:szCs w:val="22"/>
              </w:rPr>
            </w:pPr>
            <w:r>
              <w:rPr>
                <w:sz w:val="22"/>
                <w:szCs w:val="22"/>
              </w:rPr>
              <w:t>29/11/2023</w:t>
            </w:r>
          </w:p>
        </w:tc>
      </w:tr>
    </w:tbl>
    <w:p w14:paraId="00000323" w14:textId="77777777" w:rsidR="00663CDF" w:rsidRDefault="00F71B39">
      <w:pPr>
        <w:pStyle w:val="Normal0"/>
      </w:pPr>
      <w:r>
        <w:t>Fuente: Contaduría General de la Nación. Elaboración propia.</w:t>
      </w:r>
    </w:p>
    <w:p w14:paraId="00000324" w14:textId="77777777" w:rsidR="00663CDF" w:rsidRDefault="00663CDF">
      <w:pPr>
        <w:pStyle w:val="Normal0"/>
      </w:pPr>
    </w:p>
    <w:p w14:paraId="00000325" w14:textId="77777777" w:rsidR="00663CDF" w:rsidRDefault="00663CDF">
      <w:pPr>
        <w:pStyle w:val="Normal0"/>
        <w:spacing w:line="360" w:lineRule="auto"/>
      </w:pPr>
    </w:p>
    <w:p w14:paraId="00000326" w14:textId="77777777" w:rsidR="00663CDF" w:rsidRDefault="00F71B39">
      <w:pPr>
        <w:pStyle w:val="Normal0"/>
        <w:spacing w:line="360" w:lineRule="auto"/>
      </w:pPr>
      <w:r>
        <w:t xml:space="preserve">Cabe señalar que los cambios en el nivel de categorización tienen efectos directos sobre la capacidad del municipio para producir bienes y servicios, ya que cuando el gasto de funcionamiento se incrementa desproporcionadamente, se limitan los recursos para inversión en programas como : el Plan de Alimentación Escolar (PAE), mejoramiento de infraestructura educativa, atención a la salud primaria y acceso al agua potable, especialmente en zonas rurales donde persisten coberturas por debajo del 50 %. En ese contexto, el cumplimiento de la Ley 617 de 2000 no debe entenderse solo como una obligación contable o normativa, sino como una oportunidad para valorar integralmente la capacidad del municipio para sostener su </w:t>
      </w:r>
      <w:r>
        <w:lastRenderedPageBreak/>
        <w:t xml:space="preserve">funcionamiento sin sacrificar la inversión social. Es decir, no se trata únicamente de mantener los topes de gasto, sino de asegurar que la administración pública esté articulada con las reales necesidades o demanda del territorio y de su población. </w:t>
      </w:r>
    </w:p>
    <w:p w14:paraId="00000327" w14:textId="77777777" w:rsidR="00663CDF" w:rsidRDefault="00663CDF">
      <w:pPr>
        <w:pStyle w:val="Normal0"/>
        <w:spacing w:line="360" w:lineRule="auto"/>
        <w:rPr>
          <w:b/>
        </w:rPr>
      </w:pPr>
    </w:p>
    <w:p w14:paraId="00000328" w14:textId="77777777" w:rsidR="00663CDF" w:rsidRDefault="00F71B39">
      <w:pPr>
        <w:pStyle w:val="Normal0"/>
        <w:pBdr>
          <w:top w:val="nil"/>
          <w:left w:val="nil"/>
          <w:bottom w:val="nil"/>
          <w:right w:val="nil"/>
          <w:between w:val="nil"/>
        </w:pBdr>
        <w:spacing w:after="160" w:line="360" w:lineRule="auto"/>
        <w:rPr>
          <w:b/>
          <w:color w:val="000000"/>
        </w:rPr>
      </w:pPr>
      <w:bookmarkStart w:id="41" w:name="_heading=h.lc7ipk4wxvq9" w:colFirst="0" w:colLast="0"/>
      <w:bookmarkEnd w:id="41"/>
      <w:r>
        <w:rPr>
          <w:b/>
          <w:color w:val="000000"/>
        </w:rPr>
        <w:t>Tabla 6. cumplimiento de la Ley 617 del 2000</w:t>
      </w:r>
    </w:p>
    <w:tbl>
      <w:tblPr>
        <w:tblStyle w:val="a5"/>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87"/>
        <w:gridCol w:w="2561"/>
        <w:gridCol w:w="3280"/>
      </w:tblGrid>
      <w:tr w:rsidR="00663CDF" w14:paraId="1BAF4D9A" w14:textId="77777777">
        <w:tc>
          <w:tcPr>
            <w:tcW w:w="2987" w:type="dxa"/>
            <w:vAlign w:val="center"/>
          </w:tcPr>
          <w:p w14:paraId="00000329" w14:textId="77777777" w:rsidR="00663CDF" w:rsidRDefault="00F71B39">
            <w:pPr>
              <w:pStyle w:val="Normal0"/>
              <w:spacing w:line="360" w:lineRule="auto"/>
              <w:jc w:val="left"/>
              <w:rPr>
                <w:b/>
              </w:rPr>
            </w:pPr>
            <w:r>
              <w:rPr>
                <w:b/>
              </w:rPr>
              <w:t>Indicador</w:t>
            </w:r>
          </w:p>
        </w:tc>
        <w:tc>
          <w:tcPr>
            <w:tcW w:w="2561" w:type="dxa"/>
            <w:vAlign w:val="center"/>
          </w:tcPr>
          <w:p w14:paraId="0000032A" w14:textId="77777777" w:rsidR="00663CDF" w:rsidRDefault="00F71B39">
            <w:pPr>
              <w:pStyle w:val="Normal0"/>
              <w:spacing w:line="360" w:lineRule="auto"/>
              <w:jc w:val="left"/>
              <w:rPr>
                <w:b/>
              </w:rPr>
            </w:pPr>
            <w:r>
              <w:rPr>
                <w:b/>
              </w:rPr>
              <w:t>Objetivo de la Ley 617</w:t>
            </w:r>
          </w:p>
        </w:tc>
        <w:tc>
          <w:tcPr>
            <w:tcW w:w="3280" w:type="dxa"/>
            <w:vAlign w:val="center"/>
          </w:tcPr>
          <w:p w14:paraId="0000032B" w14:textId="77777777" w:rsidR="00663CDF" w:rsidRDefault="00F71B39">
            <w:pPr>
              <w:pStyle w:val="Normal0"/>
              <w:spacing w:line="360" w:lineRule="auto"/>
              <w:jc w:val="left"/>
              <w:rPr>
                <w:b/>
              </w:rPr>
            </w:pPr>
            <w:r>
              <w:rPr>
                <w:b/>
              </w:rPr>
              <w:t>Resultado en Turbaco (2016-2023)</w:t>
            </w:r>
          </w:p>
        </w:tc>
      </w:tr>
      <w:tr w:rsidR="00663CDF" w14:paraId="732726E2" w14:textId="77777777">
        <w:tc>
          <w:tcPr>
            <w:tcW w:w="2987" w:type="dxa"/>
            <w:vAlign w:val="center"/>
          </w:tcPr>
          <w:p w14:paraId="0000032C" w14:textId="77777777" w:rsidR="00663CDF" w:rsidRDefault="00F71B39">
            <w:pPr>
              <w:pStyle w:val="Normal0"/>
              <w:spacing w:line="360" w:lineRule="auto"/>
              <w:jc w:val="left"/>
            </w:pPr>
            <w:r>
              <w:t>% Cubrimiento de Gastos de Funcionamiento</w:t>
            </w:r>
          </w:p>
        </w:tc>
        <w:tc>
          <w:tcPr>
            <w:tcW w:w="2561" w:type="dxa"/>
            <w:vAlign w:val="center"/>
          </w:tcPr>
          <w:p w14:paraId="0000032D" w14:textId="77777777" w:rsidR="00663CDF" w:rsidRDefault="00DA2EDD">
            <w:pPr>
              <w:pStyle w:val="Normal0"/>
              <w:spacing w:line="360" w:lineRule="auto"/>
              <w:jc w:val="left"/>
            </w:pPr>
            <w:sdt>
              <w:sdtPr>
                <w:tag w:val="goog_rdk_0"/>
                <w:id w:val="-1604064492"/>
              </w:sdtPr>
              <w:sdtEndPr/>
              <w:sdtContent>
                <w:r w:rsidR="00F71B39">
                  <w:rPr>
                    <w:rFonts w:ascii="Arial Unicode MS" w:eastAsia="Arial Unicode MS" w:hAnsi="Arial Unicode MS" w:cs="Arial Unicode MS"/>
                  </w:rPr>
                  <w:t>≤ 80%</w:t>
                </w:r>
              </w:sdtContent>
            </w:sdt>
          </w:p>
        </w:tc>
        <w:tc>
          <w:tcPr>
            <w:tcW w:w="3280" w:type="dxa"/>
            <w:vAlign w:val="center"/>
          </w:tcPr>
          <w:p w14:paraId="0000032E" w14:textId="77777777" w:rsidR="00663CDF" w:rsidRDefault="00F71B39">
            <w:pPr>
              <w:pStyle w:val="Normal0"/>
              <w:spacing w:line="360" w:lineRule="auto"/>
              <w:jc w:val="left"/>
            </w:pPr>
            <w:r>
              <w:t>Cumplido (61% - 80%)</w:t>
            </w:r>
          </w:p>
        </w:tc>
      </w:tr>
      <w:tr w:rsidR="00663CDF" w14:paraId="249232C0" w14:textId="77777777">
        <w:tc>
          <w:tcPr>
            <w:tcW w:w="2987" w:type="dxa"/>
            <w:vAlign w:val="center"/>
          </w:tcPr>
          <w:p w14:paraId="0000032F" w14:textId="77777777" w:rsidR="00663CDF" w:rsidRDefault="00F71B39">
            <w:pPr>
              <w:pStyle w:val="Normal0"/>
              <w:spacing w:line="360" w:lineRule="auto"/>
              <w:jc w:val="left"/>
            </w:pPr>
            <w:r>
              <w:t>Crecimiento de Ingresos ICLD</w:t>
            </w:r>
          </w:p>
        </w:tc>
        <w:tc>
          <w:tcPr>
            <w:tcW w:w="2561" w:type="dxa"/>
            <w:vAlign w:val="center"/>
          </w:tcPr>
          <w:p w14:paraId="00000330" w14:textId="77777777" w:rsidR="00663CDF" w:rsidRDefault="00F71B39">
            <w:pPr>
              <w:pStyle w:val="Normal0"/>
              <w:spacing w:line="360" w:lineRule="auto"/>
              <w:jc w:val="left"/>
            </w:pPr>
            <w:r>
              <w:t>Incremento anual</w:t>
            </w:r>
          </w:p>
        </w:tc>
        <w:tc>
          <w:tcPr>
            <w:tcW w:w="3280" w:type="dxa"/>
            <w:vAlign w:val="center"/>
          </w:tcPr>
          <w:p w14:paraId="00000331" w14:textId="77777777" w:rsidR="00663CDF" w:rsidRDefault="00F71B39">
            <w:pPr>
              <w:pStyle w:val="Normal0"/>
              <w:spacing w:line="360" w:lineRule="auto"/>
              <w:jc w:val="left"/>
            </w:pPr>
            <w:r>
              <w:t>Crecimiento sostenido</w:t>
            </w:r>
          </w:p>
        </w:tc>
      </w:tr>
      <w:tr w:rsidR="00663CDF" w14:paraId="49382E69" w14:textId="77777777">
        <w:tc>
          <w:tcPr>
            <w:tcW w:w="2987" w:type="dxa"/>
            <w:vAlign w:val="center"/>
          </w:tcPr>
          <w:p w14:paraId="00000332" w14:textId="77777777" w:rsidR="00663CDF" w:rsidRDefault="00F71B39">
            <w:pPr>
              <w:pStyle w:val="Normal0"/>
              <w:spacing w:line="360" w:lineRule="auto"/>
              <w:jc w:val="left"/>
            </w:pPr>
            <w:r>
              <w:t>Eficiencia en la Gestión del Gasto</w:t>
            </w:r>
          </w:p>
        </w:tc>
        <w:tc>
          <w:tcPr>
            <w:tcW w:w="2561" w:type="dxa"/>
            <w:vAlign w:val="center"/>
          </w:tcPr>
          <w:p w14:paraId="00000333" w14:textId="77777777" w:rsidR="00663CDF" w:rsidRDefault="00F71B39">
            <w:pPr>
              <w:pStyle w:val="Normal0"/>
              <w:spacing w:line="360" w:lineRule="auto"/>
              <w:jc w:val="left"/>
            </w:pPr>
            <w:r>
              <w:t>Mejora continua</w:t>
            </w:r>
          </w:p>
        </w:tc>
        <w:tc>
          <w:tcPr>
            <w:tcW w:w="3280" w:type="dxa"/>
            <w:vAlign w:val="center"/>
          </w:tcPr>
          <w:p w14:paraId="00000334" w14:textId="77777777" w:rsidR="00663CDF" w:rsidRDefault="00F71B39">
            <w:pPr>
              <w:pStyle w:val="Normal0"/>
              <w:spacing w:line="360" w:lineRule="auto"/>
              <w:jc w:val="left"/>
            </w:pPr>
            <w:r>
              <w:t>Variabilidad en algunos años</w:t>
            </w:r>
          </w:p>
        </w:tc>
      </w:tr>
    </w:tbl>
    <w:p w14:paraId="00000335" w14:textId="77777777" w:rsidR="00663CDF" w:rsidRDefault="00F71B39">
      <w:pPr>
        <w:pStyle w:val="Normal0"/>
        <w:spacing w:line="360" w:lineRule="auto"/>
        <w:rPr>
          <w:b/>
        </w:rPr>
      </w:pPr>
      <w:r>
        <w:rPr>
          <w:b/>
        </w:rPr>
        <w:t>Fuente: Análisis basado en datos de Turbaco y Terridata. Elaboración propia.</w:t>
      </w:r>
    </w:p>
    <w:p w14:paraId="00000336" w14:textId="77777777" w:rsidR="00663CDF" w:rsidRDefault="00663CDF">
      <w:pPr>
        <w:pStyle w:val="Normal0"/>
        <w:spacing w:line="360" w:lineRule="auto"/>
        <w:rPr>
          <w:b/>
        </w:rPr>
      </w:pPr>
    </w:p>
    <w:p w14:paraId="00000337" w14:textId="77777777" w:rsidR="00663CDF" w:rsidRDefault="00663CDF">
      <w:pPr>
        <w:pStyle w:val="Normal0"/>
        <w:spacing w:line="360" w:lineRule="auto"/>
        <w:rPr>
          <w:b/>
        </w:rPr>
      </w:pPr>
    </w:p>
    <w:p w14:paraId="00000338" w14:textId="77777777" w:rsidR="00663CDF" w:rsidRDefault="00F71B39">
      <w:pPr>
        <w:pStyle w:val="Ttulo3"/>
        <w:spacing w:line="360" w:lineRule="auto"/>
      </w:pPr>
      <w:bookmarkStart w:id="42" w:name="_heading=h.88rp6fu4rec6" w:colFirst="0" w:colLast="0"/>
      <w:bookmarkEnd w:id="42"/>
      <w:r>
        <w:t>4.7. Categorización del municipio de Turbaco y su Incidencia en la Gestión Pública.</w:t>
      </w:r>
    </w:p>
    <w:p w14:paraId="00000339" w14:textId="77777777" w:rsidR="00663CDF" w:rsidRDefault="00663CDF">
      <w:pPr>
        <w:pStyle w:val="Normal0"/>
        <w:spacing w:line="360" w:lineRule="auto"/>
      </w:pPr>
    </w:p>
    <w:p w14:paraId="0000033A" w14:textId="77777777" w:rsidR="00663CDF" w:rsidRDefault="00F71B39">
      <w:pPr>
        <w:pStyle w:val="Normal0"/>
        <w:spacing w:line="360" w:lineRule="auto"/>
      </w:pPr>
      <w:bookmarkStart w:id="43" w:name="_heading=h.6li5fyienyas" w:colFirst="0" w:colLast="0"/>
      <w:bookmarkEnd w:id="43"/>
      <w:r>
        <w:t xml:space="preserve">La Ley 617 de 2000 trajo consigo una reorganización del país a través de la categorización de municipios, estableciendo que dicha clasificación no solo dependería del número de habitantes, sino también de los ingresos corrientes de libre destinación (ICLD) y del nivel de gastos de funcionamiento. Lo que a primera vista parece una fórmula técnica, en la práctica representa una serie de implicaciones profundas para los territorios, ya que define entre otros: cuántos recursos pueden gastar, cuántos funcionarios pueden contratar, e incluso qué tan autónomos pueden ser en sus decisiones. En el caso de Turbaco, esta categorización ha tenido un efectos y cambios silenciosos pero contundente en la gestión pública. Durante el periodo 2016–2019, el municipio era de quinta categoría. </w:t>
      </w:r>
      <w:r>
        <w:lastRenderedPageBreak/>
        <w:t>Sin embargo, debido al crecimiento acelerado de su población y al aumento progresivo de sus ingresos propios, pasó a ser de cuarta categoría a partir de 2020. Este cambio trajo consigo mayores responsabilidades, pero también nuevos desafíos que han puesto a prueba la capacidad institucional del gobierno local.</w:t>
      </w:r>
    </w:p>
    <w:p w14:paraId="0000033B" w14:textId="77777777" w:rsidR="00663CDF" w:rsidRDefault="00F71B39">
      <w:pPr>
        <w:pStyle w:val="Normal0"/>
        <w:spacing w:line="360" w:lineRule="auto"/>
      </w:pPr>
      <w:r>
        <w:t>Desde el ámbito político, esta transición supone que el municipio debía responder con mayor formalidad y responsabilidad ante el cumplimiento de metas y la formulación de políticas públicas más amplias. De hecho, se requería no solo más recurso humano y más inversión, sino también un liderazgo político más técnico y cercano a las necesidades territoriales. No obstante, esa transformación no siempre fue acompañada de una estructura adecuada para la planeación, como lo evidencia el Informe de Empalme 2020–2023, en donde muchos procesos administrativos aún se apoyaban en nombramientos provisionales y había rezagos en la formalización de cargos y perfiles técnicos, que restringieron la eficiencia de los proyectos (Alcaldía de Turbaco, 2023).</w:t>
      </w:r>
    </w:p>
    <w:p w14:paraId="0000033C" w14:textId="77777777" w:rsidR="00663CDF" w:rsidRDefault="00663CDF">
      <w:pPr>
        <w:pStyle w:val="Normal0"/>
        <w:spacing w:line="360" w:lineRule="auto"/>
      </w:pPr>
    </w:p>
    <w:p w14:paraId="0000033D" w14:textId="77777777" w:rsidR="00663CDF" w:rsidRDefault="00F71B39">
      <w:pPr>
        <w:pStyle w:val="Normal0"/>
        <w:spacing w:line="360" w:lineRule="auto"/>
      </w:pPr>
      <w:r>
        <w:t>En el campo económico, el crecimiento poblacional fue determinante, dado que, en el año 2016, Turbaco contaba con una población cercana a los 63.450 habitantes; mientras que, en 2023, según estimaciones oficiales, la cifra ya superaba los 114.000 pobladores. Esto representa un incremento superior al 80 % en tan solo siete años. A primera vista, esto podría parecer una oportunidad: más habitantes, más comercio, más recaudo, pero los datos manifiestan otra realidad, pues si bien la población crecía, los ingresos propios del municipio pasaron de $9.671 millones en 2016 a $15.775 millones en ese año, lo que corresponde a un aumento del 63 % (Alcaldía de Turbaco, 2023, archivo Comparativos IDF, hoja "Categorización"). Es decir, aunque aumentó la base tributaria, este crecimiento no fue suficiente para sostener el ritmo de expansión demográfica, y eso, inevitablemente, se traduce en presión sobre los servicios públicos y la inversión social.</w:t>
      </w:r>
    </w:p>
    <w:p w14:paraId="0000033E" w14:textId="77777777" w:rsidR="00663CDF" w:rsidRDefault="00663CDF">
      <w:pPr>
        <w:pStyle w:val="Normal0"/>
        <w:spacing w:line="360" w:lineRule="auto"/>
      </w:pPr>
    </w:p>
    <w:p w14:paraId="0000033F" w14:textId="77777777" w:rsidR="00663CDF" w:rsidRDefault="00F71B39">
      <w:pPr>
        <w:pStyle w:val="Normal0"/>
        <w:spacing w:line="360" w:lineRule="auto"/>
      </w:pPr>
      <w:r>
        <w:t xml:space="preserve">En el componente social, el cambio de categoría no representó un progreso automático en la calidad de vida de los ciudadanos, ya que las limitaciones </w:t>
      </w:r>
      <w:r>
        <w:lastRenderedPageBreak/>
        <w:t>presupuestales se mantuvieron, sobre todo en los años más difíciles como el 2021, cuando el porcentaje de cubrimiento de los gastos de funcionamiento cayó al 61 %. Cabe subrayar que ese año, se destinaron más recursos al aparato administrativo, lo cual redujo el margen para invertir en programas esenciales como salud preventiva, educación rural o acceso a servicios básicos, lo cual afectó especialmente a las poblaciones más vulnerables, en particular las comunidades rurales o los barrios populares en expansión, los cuales seguían creciendo sin que el Estado consiguiera presentarle soluciones efectivas a sus demandas (Alcaldía de Turbaco, 2023, archivo Comparativos IDF, hoja "CGN").</w:t>
      </w:r>
    </w:p>
    <w:p w14:paraId="00000340" w14:textId="77777777" w:rsidR="00663CDF" w:rsidRDefault="00663CDF">
      <w:pPr>
        <w:pStyle w:val="Normal0"/>
        <w:spacing w:line="360" w:lineRule="auto"/>
      </w:pPr>
    </w:p>
    <w:p w14:paraId="00000341" w14:textId="77777777" w:rsidR="00663CDF" w:rsidRDefault="00F71B39">
      <w:pPr>
        <w:pStyle w:val="Normal0"/>
        <w:spacing w:line="360" w:lineRule="auto"/>
      </w:pPr>
      <w:r>
        <w:t>En las áreas cultural e institucional, el nuevo estatus implicó también una carga adicional. Al asumir mayores competencias en programas culturales, deportivos y de participación ciudadana, la administración se vio obligada a fortalecer áreas que tradicionalmente habían sido relegadas. Sin embargo, los recursos no siempre estuvieron disponibles. Por ejemplo, la Secretaría de Cultura y Patrimonio reportó limitaciones presupuestales que impidieron ampliar los programas culturales en los corregimientos, y la infraestructura comunitaria seguía siendo precaria, según consta en el mismo informe de empalme (Alcaldía de Turbaco, 2023). La transición a una categoría superior implicaba también elevar la calidad del servicio al ciudadano, pero sin una mejora proporcional en los recursos humanos y técnicos, esto se convirtió en una tarea cuesta arriba.</w:t>
      </w:r>
    </w:p>
    <w:p w14:paraId="00000342" w14:textId="77777777" w:rsidR="00663CDF" w:rsidRDefault="00663CDF">
      <w:pPr>
        <w:pStyle w:val="Normal0"/>
        <w:spacing w:line="360" w:lineRule="auto"/>
      </w:pPr>
    </w:p>
    <w:p w14:paraId="00000343" w14:textId="77777777" w:rsidR="00663CDF" w:rsidRDefault="00663CDF">
      <w:pPr>
        <w:pStyle w:val="Normal0"/>
        <w:spacing w:line="360" w:lineRule="auto"/>
      </w:pPr>
    </w:p>
    <w:p w14:paraId="00000344" w14:textId="77777777" w:rsidR="00663CDF" w:rsidRDefault="00F71B39">
      <w:pPr>
        <w:pStyle w:val="Ttulo3"/>
        <w:spacing w:line="360" w:lineRule="auto"/>
        <w:rPr>
          <w:b w:val="0"/>
        </w:rPr>
      </w:pPr>
      <w:bookmarkStart w:id="44" w:name="_heading=h.qfq4a769xmot" w:colFirst="0" w:colLast="0"/>
      <w:bookmarkEnd w:id="44"/>
      <w:r>
        <w:t>4.7.1. Categorización en el periodo 2016-2019.</w:t>
      </w:r>
    </w:p>
    <w:p w14:paraId="00000345" w14:textId="77777777" w:rsidR="00663CDF" w:rsidRDefault="00F71B39">
      <w:pPr>
        <w:pStyle w:val="Normal0"/>
        <w:spacing w:line="360" w:lineRule="auto"/>
      </w:pPr>
      <w:r>
        <w:t xml:space="preserve">Durante el periodo comprendido entre 2016 y 2019, el municipio de Turbaco se localizaba en la categoría quinta, ascendiendo a cuarta categoría en el año 2019. Este cambio implicó una serie de nuevas exigencias fiscales y administrativas, dado que la Ley 617 de 2000 establece criterios de ingresos y población para dicha categorización, que, al ser superados, requieren mayor eficiencia en la gestión del gasto y mayores niveles de ingresos propios. En este contexto, la administración </w:t>
      </w:r>
      <w:r>
        <w:lastRenderedPageBreak/>
        <w:t>municipal enfrentó el desafío de fortalecer sus finanzas, reduciendo la dependencia de las transferencias del Sistema General de Participaciones y aumentando la autonomía tributaria.</w:t>
      </w:r>
    </w:p>
    <w:p w14:paraId="00000346" w14:textId="77777777" w:rsidR="00663CDF" w:rsidRDefault="00663CDF">
      <w:pPr>
        <w:pStyle w:val="Normal0"/>
        <w:spacing w:line="360" w:lineRule="auto"/>
      </w:pPr>
    </w:p>
    <w:p w14:paraId="00000347" w14:textId="77777777" w:rsidR="00663CDF" w:rsidRDefault="00F71B39">
      <w:pPr>
        <w:pStyle w:val="Normal0"/>
        <w:spacing w:line="360" w:lineRule="auto"/>
      </w:pPr>
      <w:r>
        <w:t xml:space="preserve">Uno de los principales indicadores de este esfuerzo fue el comportamiento del Impuesto de Industria y Comercio (ICA) y del Impuesto Predial Unificado (IPU), los cuales mostraron tendencias significativas tanto en su valor absoluto como en su participación dentro de los Ingresos Corrientes de Libre Destinación (ICLD). En el año 2016, el recaudo por concepto de ICA ascendió a $5.257 millones, representando el 54.36% de los ICLD. Para el año 2019, este ingreso creció hasta los $9.180 millones, lo que constituyó un incremento absoluto de $3.923 millones en el periodo analizado. Sin embargo, su participación porcentual dentro de los ICLD se redujo al 49.23%, lo cual expresa que, aun cuando el impuesto creció, otros componentes de los ingresos también lo hicieron a mayor ritmo, diversificando ligeramente la estructura fiscal. </w:t>
      </w:r>
    </w:p>
    <w:p w14:paraId="00000348" w14:textId="77777777" w:rsidR="00663CDF" w:rsidRDefault="00663CDF">
      <w:pPr>
        <w:pStyle w:val="Normal0"/>
        <w:spacing w:line="360" w:lineRule="auto"/>
      </w:pPr>
    </w:p>
    <w:p w14:paraId="00000349" w14:textId="77777777" w:rsidR="00663CDF" w:rsidRDefault="00F71B39">
      <w:pPr>
        <w:pStyle w:val="Normal0"/>
        <w:spacing w:line="360" w:lineRule="auto"/>
      </w:pPr>
      <w:r>
        <w:t>Por su parte, el IPU inició en 2016 con un recaudo de $2.447 millones, equivalentes al 25.30% de los ICLD. En 2019, alcanzó los $3.888 millones, lo que significa un incremento de $1.440 millones, no obstante, su participación se redujo ligeramente al 20.85%, mostrando una tendencia más conservadora en su peso relativo, aunque con crecimiento sostenido en cifras absolutas. Cabe señalar que en 2018 se presentó una caída del recaudo por IPU de $378 millones respecto a 2017, lo cual pudo estar relacionado con dificultades en el proceso de actualización catastral o en la capacidad de cobro coactivo.</w:t>
      </w:r>
    </w:p>
    <w:p w14:paraId="0000034A" w14:textId="77777777" w:rsidR="00663CDF" w:rsidRDefault="00663CDF">
      <w:pPr>
        <w:pStyle w:val="Normal0"/>
        <w:spacing w:line="360" w:lineRule="auto"/>
      </w:pPr>
    </w:p>
    <w:p w14:paraId="0000034B" w14:textId="77777777" w:rsidR="00663CDF" w:rsidRDefault="00F71B39">
      <w:pPr>
        <w:pStyle w:val="Normal0"/>
        <w:spacing w:line="360" w:lineRule="auto"/>
      </w:pPr>
      <w:r>
        <w:t xml:space="preserve">En cuanto a la variación interanual, el ICA mostró un comportamiento dinámico con incrementos anuales sostenidos: $779 millones en 2017, $1.224 millones en 2018, y $1.919 millones en 2019. Estas cifras sugieren un esfuerzo real por robustecer el control, seguimiento y recaudo de este tributo, generalmente vinculado a la actividad económica del municipio. El IPU, en cambio, evidenció mayor inestabilidad, con un </w:t>
      </w:r>
      <w:r>
        <w:lastRenderedPageBreak/>
        <w:t>crecimiento de $827 millones en 2017, seguido de una caída en 2018, para luego incrementarse nuevamente en 2019 con una variación positiva de $991 millones.</w:t>
      </w:r>
    </w:p>
    <w:p w14:paraId="0000034C" w14:textId="77777777" w:rsidR="00663CDF" w:rsidRDefault="00663CDF">
      <w:pPr>
        <w:pStyle w:val="Normal0"/>
        <w:spacing w:line="360" w:lineRule="auto"/>
      </w:pPr>
    </w:p>
    <w:p w14:paraId="0000034D" w14:textId="77777777" w:rsidR="00663CDF" w:rsidRDefault="00F71B39">
      <w:pPr>
        <w:pStyle w:val="Normal0"/>
        <w:spacing w:line="360" w:lineRule="auto"/>
      </w:pPr>
      <w:r>
        <w:t>Esta evolución explica cómo, aunque el ICA conservó una mayor relevancia dentro de los ingresos corrientes, el IPU comenzó a ganar terreno y significa un área clave de progreso, especialmente considerando que su base gravable obedece a las actualizaciones del catastro y de la cultura de pago ciudadana. En este sentido, la recategorización de Turbaco no solo fue el resultado de estos incrementos de los ingresos propios, sino que a su vez actuó como motor para optimizar la gestión fiscal municipal. El paso a cuarta categoría en 2019 no solo exigió una adecuada planeación y ejecución del gasto, sino también el fortalecimiento de políticas tributarias que suscitaran el crecimiento sostenido de estos dos tributos claves.</w:t>
      </w:r>
    </w:p>
    <w:p w14:paraId="0000034E" w14:textId="77777777" w:rsidR="00663CDF" w:rsidRDefault="00663CDF">
      <w:pPr>
        <w:pStyle w:val="Normal0"/>
        <w:spacing w:line="360" w:lineRule="auto"/>
      </w:pPr>
    </w:p>
    <w:p w14:paraId="0000034F" w14:textId="77777777" w:rsidR="00663CDF" w:rsidRDefault="00F71B39">
      <w:pPr>
        <w:pStyle w:val="Normal0"/>
        <w:pBdr>
          <w:top w:val="nil"/>
          <w:left w:val="nil"/>
          <w:bottom w:val="nil"/>
          <w:right w:val="nil"/>
          <w:between w:val="nil"/>
        </w:pBdr>
        <w:spacing w:after="160" w:line="360" w:lineRule="auto"/>
        <w:rPr>
          <w:b/>
          <w:color w:val="000000"/>
        </w:rPr>
      </w:pPr>
      <w:bookmarkStart w:id="45" w:name="_heading=h.ie37qclgb5u" w:colFirst="0" w:colLast="0"/>
      <w:bookmarkEnd w:id="45"/>
      <w:r>
        <w:rPr>
          <w:b/>
          <w:color w:val="000000"/>
        </w:rPr>
        <w:t>Tabla 7. Cuadro de los ingresos 2016 a 2013 del Municipio de Turbaco.</w:t>
      </w:r>
      <w:r>
        <w:rPr>
          <w:noProof/>
        </w:rPr>
        <w:drawing>
          <wp:anchor distT="0" distB="0" distL="114300" distR="114300" simplePos="0" relativeHeight="251658240" behindDoc="0" locked="0" layoutInCell="1" hidden="0" allowOverlap="1" wp14:anchorId="47041719" wp14:editId="07777777">
            <wp:simplePos x="0" y="0"/>
            <wp:positionH relativeFrom="column">
              <wp:posOffset>1</wp:posOffset>
            </wp:positionH>
            <wp:positionV relativeFrom="paragraph">
              <wp:posOffset>334645</wp:posOffset>
            </wp:positionV>
            <wp:extent cx="5975350" cy="1496060"/>
            <wp:effectExtent l="0" t="0" r="0" b="0"/>
            <wp:wrapSquare wrapText="bothSides" distT="0" distB="0" distL="114300" distR="114300"/>
            <wp:docPr id="176378620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75350" cy="1496060"/>
                    </a:xfrm>
                    <a:prstGeom prst="rect">
                      <a:avLst/>
                    </a:prstGeom>
                    <a:ln/>
                  </pic:spPr>
                </pic:pic>
              </a:graphicData>
            </a:graphic>
          </wp:anchor>
        </w:drawing>
      </w:r>
    </w:p>
    <w:p w14:paraId="00000350" w14:textId="77777777" w:rsidR="00663CDF" w:rsidRDefault="00F71B39">
      <w:pPr>
        <w:pStyle w:val="Normal0"/>
        <w:spacing w:line="360" w:lineRule="auto"/>
        <w:rPr>
          <w:b/>
        </w:rPr>
      </w:pPr>
      <w:r>
        <w:rPr>
          <w:b/>
        </w:rPr>
        <w:t xml:space="preserve">Fuente: Reporte FUT 2016-2020. Reporte CUIPO CHIP Contaduría General de la Nación 2021-2023. Elaboración Propia. </w:t>
      </w:r>
    </w:p>
    <w:p w14:paraId="00000351" w14:textId="77777777" w:rsidR="00663CDF" w:rsidRDefault="00663CDF">
      <w:pPr>
        <w:pStyle w:val="Normal0"/>
        <w:spacing w:line="360" w:lineRule="auto"/>
        <w:rPr>
          <w:b/>
        </w:rPr>
      </w:pPr>
    </w:p>
    <w:p w14:paraId="00000352" w14:textId="77777777" w:rsidR="00663CDF" w:rsidRDefault="00F71B39">
      <w:pPr>
        <w:pStyle w:val="Ttulo3"/>
        <w:numPr>
          <w:ilvl w:val="2"/>
          <w:numId w:val="8"/>
        </w:numPr>
        <w:spacing w:line="360" w:lineRule="auto"/>
        <w:rPr>
          <w:b w:val="0"/>
        </w:rPr>
      </w:pPr>
      <w:bookmarkStart w:id="46" w:name="_heading=h.hohb3kx0aye0" w:colFirst="0" w:colLast="0"/>
      <w:bookmarkEnd w:id="46"/>
      <w:r>
        <w:t>Categorización en el periodo 2020-2023.</w:t>
      </w:r>
    </w:p>
    <w:p w14:paraId="00000353" w14:textId="77777777" w:rsidR="00663CDF" w:rsidRDefault="00F71B39">
      <w:pPr>
        <w:pStyle w:val="Normal0"/>
        <w:spacing w:line="360" w:lineRule="auto"/>
      </w:pPr>
      <w:r>
        <w:t xml:space="preserve">El periodo 2020-2023 desplegó desafíos adicionales debido a la pandemia de COVID-19, que incidió de manera significativa la economía local y la capacidad de gestión de la administración. A pesar de estos desafíos, Turbaco mantuvo su categorización, lo cual involucró la necesidad de modificar estrategias fiscales y de gestión para proteger la estabilidad y continuar prestando servicios esenciales. La crisis sanitaria y económica obligó a la administración a reconfigurar sus prioridades </w:t>
      </w:r>
      <w:r>
        <w:lastRenderedPageBreak/>
        <w:t>fiscales, centrándose en la salud pública y la asistencia social, en donde se reconoce que, a pesar de las limitaciones presupuestales, el municipio se esforzó por mantener el equilibrio fiscal y cumplir con las exigencias de su categorización.</w:t>
      </w:r>
    </w:p>
    <w:p w14:paraId="00000354" w14:textId="77777777" w:rsidR="00663CDF" w:rsidRDefault="00F71B39">
      <w:pPr>
        <w:pStyle w:val="Normal0"/>
        <w:spacing w:line="360" w:lineRule="auto"/>
      </w:pPr>
      <w:r>
        <w:t xml:space="preserve">En otras palabras, la pandemia subrayó la importancia de la resiliencia en la gestión pública, llevando al municipio a adaptar sus estrategias para responder a las emergencias sanitarias y económicas, mientras continuaba con la provisión de servicios públicos esenciales. </w:t>
      </w:r>
    </w:p>
    <w:p w14:paraId="00000355" w14:textId="77777777" w:rsidR="00663CDF" w:rsidRDefault="00663CDF">
      <w:pPr>
        <w:pStyle w:val="Normal0"/>
        <w:spacing w:line="360" w:lineRule="auto"/>
      </w:pPr>
    </w:p>
    <w:p w14:paraId="00000356" w14:textId="77777777" w:rsidR="00663CDF" w:rsidRDefault="00663CDF">
      <w:pPr>
        <w:pStyle w:val="Normal0"/>
        <w:spacing w:line="360" w:lineRule="auto"/>
      </w:pPr>
    </w:p>
    <w:p w14:paraId="00000357" w14:textId="77777777" w:rsidR="00663CDF" w:rsidRDefault="00F71B39">
      <w:pPr>
        <w:pStyle w:val="Ttulo3"/>
        <w:numPr>
          <w:ilvl w:val="1"/>
          <w:numId w:val="8"/>
        </w:numPr>
        <w:spacing w:line="360" w:lineRule="auto"/>
      </w:pPr>
      <w:bookmarkStart w:id="47" w:name="_heading=h.xf0dkls4t85j" w:colFirst="0" w:colLast="0"/>
      <w:bookmarkEnd w:id="47"/>
      <w:r>
        <w:t>Variables en la Descentralización y Autonomía Local.</w:t>
      </w:r>
    </w:p>
    <w:p w14:paraId="00000358" w14:textId="77777777" w:rsidR="00663CDF" w:rsidRDefault="00663CDF">
      <w:pPr>
        <w:pStyle w:val="Normal0"/>
        <w:spacing w:line="360" w:lineRule="auto"/>
      </w:pPr>
    </w:p>
    <w:p w14:paraId="00000359" w14:textId="77777777" w:rsidR="00663CDF" w:rsidRDefault="00F71B39">
      <w:pPr>
        <w:pStyle w:val="Normal0"/>
        <w:spacing w:line="360" w:lineRule="auto"/>
      </w:pPr>
      <w:r>
        <w:t xml:space="preserve">La descentralización ha sido un factor crucial para apuntalar la autonomía local en Turbaco, permitiendo una gestión más cercana a las necesidades de la población; no obstante, esta mayor autonomía también ha expuesto las limitaciones técnicas y administrativas del municipio, especialmente en la implementación de proyectos complejos. La descentralización ha posibilitado a Turbaco diseñar y ejecutar planes de desarrollo articulados con las demandas territoriales, sin embargo, la capacidad de movilizar recursos suficientes para cumplir con todas las competencias transferidas ha sido un desafío constante. A pesar de los avances en la autonomía local, la coordinación con los niveles departamental y nacional ha sido fundamental para la ejecución de proyectos que requieren cofinanciación, la pandemia subrayó la importancia de esta coordinación, especialmente en la implementación de políticas de emergencia. La crisis sanitaria ocasionada por la pandemia del covid-19 exacerbó las desigualdades existentes, afectando gravemente a los sectores más vulnerables de la población, a lo que la respuesta del municipio incluyó programas de asistencia social y la reorientación de recursos hacia la protección social, lo que ayudó a mitigar algunos de los efectos más adversos de la pandemia. </w:t>
      </w:r>
    </w:p>
    <w:p w14:paraId="0000035A" w14:textId="77777777" w:rsidR="00663CDF" w:rsidRDefault="00663CDF">
      <w:pPr>
        <w:pStyle w:val="Normal0"/>
        <w:spacing w:line="360" w:lineRule="auto"/>
      </w:pPr>
    </w:p>
    <w:p w14:paraId="0000035B" w14:textId="77777777" w:rsidR="00663CDF" w:rsidRDefault="00F71B39">
      <w:pPr>
        <w:pStyle w:val="Ttulo3"/>
        <w:spacing w:line="360" w:lineRule="auto"/>
        <w:rPr>
          <w:b w:val="0"/>
        </w:rPr>
      </w:pPr>
      <w:bookmarkStart w:id="48" w:name="_heading=h.c2pvqkrvbkvz" w:colFirst="0" w:colLast="0"/>
      <w:bookmarkEnd w:id="48"/>
      <w:r>
        <w:lastRenderedPageBreak/>
        <w:t>4.9. Desempeño Fiscal de Turbaco (2016-2023).</w:t>
      </w:r>
    </w:p>
    <w:p w14:paraId="0000035C" w14:textId="77777777" w:rsidR="00663CDF" w:rsidRDefault="00F71B39">
      <w:pPr>
        <w:pStyle w:val="Normal0"/>
        <w:spacing w:line="360" w:lineRule="auto"/>
      </w:pPr>
      <w:bookmarkStart w:id="49" w:name="_heading=h.741npfdzbp6m" w:colFirst="0" w:colLast="0"/>
      <w:bookmarkEnd w:id="49"/>
      <w:r>
        <w:t xml:space="preserve">Durante los periodos administrativos 2016–2019 y 2020–2023, Turbaco experimentó una evolución significativa en su desempeño fiscal, lo cual puede atribuirse a un conjunto de decisiones orientadas a fortificar la autonomía financiera, optimizar el gasto público y preservar la sostenibilidad de su endeudamiento. Este comportamiento fiscal no solo evidencia el cumplimiento normativo, sino que también da cuenta de una gestión pública con mayor capacidad para responder a las demandas sociales del territorio, tal como se muestra a continuación: </w:t>
      </w:r>
    </w:p>
    <w:p w14:paraId="0000035D" w14:textId="77777777" w:rsidR="00663CDF" w:rsidRDefault="00663CDF">
      <w:pPr>
        <w:pStyle w:val="Normal0"/>
        <w:spacing w:line="360" w:lineRule="auto"/>
      </w:pPr>
    </w:p>
    <w:p w14:paraId="0000035E" w14:textId="77777777" w:rsidR="00663CDF" w:rsidRDefault="00F71B39">
      <w:pPr>
        <w:pStyle w:val="Normal0"/>
        <w:spacing w:line="360" w:lineRule="auto"/>
      </w:pPr>
      <w:r>
        <w:t>a) Uno de los principales avances se observó en el crecimiento de los ingresos propios, en efecto el municipio logró aumentar sostenidamente sus ingresos tributarios, lo que refleja tanto un avance en los procesos de recaudo como una mayor capacidad institucional para movilizar recursos internos. Por ejemplo, el Impuesto Predial Unificado (IPU) registró un incremento del 53,45% al pasar de $8.733 millones en 2021 a $13.401 millones en 2022. De igual manera, el recaudo por concepto de Industria y Comercio (ICA) se elevó de $6.778 millones en 2021 a $9.431 millones en 2022, lo cual representa un crecimiento del 39,2% (Alcaldía Municipal de Turbaco, 2024). Este dinamismo fiscal ha permitido reducir de forma progresiva la dependencia de las transferencias del Sistema General de Participaciones, robusteciendo así la autonomía fiscal del municipio, un aspecto crítico en el marco del proceso de descentralización.</w:t>
      </w:r>
    </w:p>
    <w:p w14:paraId="0000035F" w14:textId="77777777" w:rsidR="00663CDF" w:rsidRDefault="00663CDF">
      <w:pPr>
        <w:pStyle w:val="Normal0"/>
        <w:spacing w:line="360" w:lineRule="auto"/>
      </w:pPr>
    </w:p>
    <w:p w14:paraId="00000360" w14:textId="77777777" w:rsidR="00663CDF" w:rsidRDefault="00F71B39">
      <w:pPr>
        <w:pStyle w:val="Normal0"/>
        <w:spacing w:line="360" w:lineRule="auto"/>
      </w:pPr>
      <w:r>
        <w:t xml:space="preserve">b) La gestión eficaz del gasto ha sido otro componente central del desempeño fiscal, en donde el cumplimiento de los límites establecidos por la Ley 617 de 2000 en relación con los gastos de funcionamiento ha sido sostenido durante todo el periodo. En 2022, por ejemplo, este indicador fue del 34,55%, cifra considerablemente inferior al umbral del 80% establecido por la normativa. En 2023, el indicador se situó en 40,89%, lo que confirma una tendencia en materia de disciplina fiscal que ha permitido canalizar una mayor proporción de los ingresos hacia la inversión social (Alcaldía Municipal de Turbaco, 2023). Es decir, este comportamiento evidencia una </w:t>
      </w:r>
      <w:r>
        <w:lastRenderedPageBreak/>
        <w:t>gestión responsable, que evita el crecimiento inercial del gasto corriente y abre espacio fiscal para atender otras prioridades territoriales.</w:t>
      </w:r>
    </w:p>
    <w:p w14:paraId="00000361" w14:textId="77777777" w:rsidR="00663CDF" w:rsidRDefault="00663CDF">
      <w:pPr>
        <w:pStyle w:val="Normal0"/>
        <w:spacing w:line="360" w:lineRule="auto"/>
      </w:pPr>
    </w:p>
    <w:p w14:paraId="00000362" w14:textId="77777777" w:rsidR="00663CDF" w:rsidRDefault="00F71B39">
      <w:pPr>
        <w:pStyle w:val="Normal0"/>
        <w:spacing w:line="360" w:lineRule="auto"/>
      </w:pPr>
      <w:r>
        <w:t>c) En cuanto al manejo de la deuda pública, Turbaco ha mantenido una política prudente y estratégica. Aunque en 2021 se contrató un crédito por $1.713 millones con garantía sobre los ingresos corrientes de libre destinación (ICLD), los niveles de endeudamiento han permanecido dentro de márgenes sostenibles. La relación deuda/ICLD proyectada para 2026 es del 59%, y se estima que descenderá al 5% en 2034, lo que demuestra un adecuado control sobre las obligaciones financieras del municipio (Alcaldía Municipal de Turbaco, 2024). Este comportamiento no solo contribuye a preservar la sostenibilidad fiscal, sino que también permite liberar recursos para bienes y servicios públicos esenciales.</w:t>
      </w:r>
    </w:p>
    <w:p w14:paraId="00000363" w14:textId="77777777" w:rsidR="00663CDF" w:rsidRDefault="00663CDF">
      <w:pPr>
        <w:pStyle w:val="Normal0"/>
        <w:spacing w:line="360" w:lineRule="auto"/>
      </w:pPr>
    </w:p>
    <w:p w14:paraId="00000364" w14:textId="77777777" w:rsidR="00663CDF" w:rsidRDefault="00F71B39">
      <w:pPr>
        <w:pStyle w:val="Normal0"/>
        <w:spacing w:line="360" w:lineRule="auto"/>
      </w:pPr>
      <w:r>
        <w:t>Cabe señalar que, desde 2004, las entidades territoriales están obligadas a formular y actualizar anualmente su Marco Fiscal de Mediano Plazo (MFMP), conforme a lo establecido en el artículo 5 de la Ley 819 de 2003. Este instrumento es fundamental para la planeación financiera, pues permite proyectar ingresos, gastos y niveles de endeudamiento bajo criterios de sostenibilidad. En el caso de Turbaco, aunque se evidencia prudencia en la contratación de deuda, el fortalecimiento del marco fiscal contribuiría a una mejor articulación entre la capacidad financiera del municipio y las metas de inversión social y desarrollo.</w:t>
      </w:r>
    </w:p>
    <w:p w14:paraId="00000365" w14:textId="77777777" w:rsidR="00663CDF" w:rsidRDefault="00663CDF">
      <w:pPr>
        <w:pStyle w:val="Normal0"/>
        <w:spacing w:line="360" w:lineRule="auto"/>
      </w:pPr>
    </w:p>
    <w:p w14:paraId="00000366" w14:textId="77777777" w:rsidR="00663CDF" w:rsidRDefault="00F71B39">
      <w:pPr>
        <w:pStyle w:val="Normal0"/>
        <w:spacing w:line="360" w:lineRule="auto"/>
      </w:pPr>
      <w:r>
        <w:t xml:space="preserve">d) Por otra parte, el esfuerzo en inversión ha sido notable, destacando que el presupuesto destinado a inversión aumentó en un 91,6% entre 2020 y 2023, al pasar de $72.934 millones a $139.816 millones. Este crecimiento expresa la voluntad política de transformar los ingresos disponibles en activos tangibles para el desarrollo del municipio, especialmente en sectores clave como la educación, la salud, la vivienda y los servicios públicos (Alcaldía Municipal de Turbaco, 2024). La inversión pública, en este sentido, no solo responde a una obligación legal, sino que </w:t>
      </w:r>
      <w:r>
        <w:lastRenderedPageBreak/>
        <w:t>constituye una herramienta estratégica para mejorar el bienestar de la población y cerrar brechas sociales.</w:t>
      </w:r>
    </w:p>
    <w:p w14:paraId="00000367" w14:textId="77777777" w:rsidR="00663CDF" w:rsidRDefault="00663CDF">
      <w:pPr>
        <w:pStyle w:val="Normal0"/>
        <w:spacing w:line="360" w:lineRule="auto"/>
      </w:pPr>
    </w:p>
    <w:p w14:paraId="00000368" w14:textId="77777777" w:rsidR="00663CDF" w:rsidRDefault="00F71B39">
      <w:pPr>
        <w:pStyle w:val="Normal0"/>
        <w:spacing w:line="360" w:lineRule="auto"/>
      </w:pPr>
      <w:r>
        <w:t xml:space="preserve">Finalmente, la capacidad de ahorro del municipio también ha mostrado señales positivas a lo largo del periodo, el municipio ha registrado superávit primario, lo que le ha permitido pagar los intereses de la deuda con sus ingresos corrientes y generar excedentes reinvertibles. Para el año 2025, se proyecta una cobertura del servicio de deuda del 106%, cifra que ascendería al 202% en 2034, según las estimaciones del Marco Fiscal de Mediano Plazo (MFMP) (Alcaldía Municipal de Turbaco, 2024). Esta capacidad de ahorro no solo refleja una gestión eficiente de los recursos, sino que además garantiza una mayor resiliencia ante choques fiscales imprevistos, como emergencias sanitarias o económicas. </w:t>
      </w:r>
    </w:p>
    <w:p w14:paraId="00000369" w14:textId="77777777" w:rsidR="00663CDF" w:rsidRDefault="00663CDF">
      <w:pPr>
        <w:pStyle w:val="Normal0"/>
        <w:spacing w:line="360" w:lineRule="auto"/>
      </w:pPr>
    </w:p>
    <w:p w14:paraId="0000036A" w14:textId="77777777" w:rsidR="00663CDF" w:rsidRDefault="00F71B39">
      <w:pPr>
        <w:pStyle w:val="Ttulo4"/>
      </w:pPr>
      <w:r>
        <w:t>4.9.1. Análisis de la deuda pública del municipio de Turbaco (2016–2023).</w:t>
      </w:r>
    </w:p>
    <w:p w14:paraId="0000036B" w14:textId="77777777" w:rsidR="00663CDF" w:rsidRDefault="00663CDF">
      <w:pPr>
        <w:pStyle w:val="Normal0"/>
      </w:pPr>
    </w:p>
    <w:p w14:paraId="0000036C" w14:textId="77777777" w:rsidR="00663CDF" w:rsidRDefault="00F71B39">
      <w:pPr>
        <w:pStyle w:val="Normal0"/>
        <w:spacing w:line="360" w:lineRule="auto"/>
      </w:pPr>
      <w:r>
        <w:t>Durante el periodo observado, el municipio de Turbaco ha gestionado compromisos financieros que evidencian un manejo de deuda orientado al apalancamiento de proyectos estratégicos. En el Estado de Situación Financiera con corte al 31 de diciembre de 2021, se reportó un pasivo no corriente por un valor de $1.713.517.628, respaldado con recursos del Impuesto al Consumo de Licores, Cervezas y Cigarrillos (ICLD), correspondiente a un crédito adquirido el 1 de octubre de 2021.</w:t>
      </w:r>
    </w:p>
    <w:p w14:paraId="0000036D" w14:textId="77777777" w:rsidR="00663CDF" w:rsidRDefault="00663CDF">
      <w:pPr>
        <w:pStyle w:val="Normal0"/>
        <w:spacing w:line="360" w:lineRule="auto"/>
      </w:pPr>
    </w:p>
    <w:p w14:paraId="0000036E" w14:textId="77777777" w:rsidR="00663CDF" w:rsidRDefault="00F71B39">
      <w:pPr>
        <w:pStyle w:val="Normal0"/>
        <w:spacing w:line="360" w:lineRule="auto"/>
      </w:pPr>
      <w:r>
        <w:t xml:space="preserve">Este compromiso financiero fue pactado con un período de gracia que comprendió los meses de noviembre y diciembre de 2021 y la totalidad de la vigencia 2022. En consecuencia, el municipio no efectuó pagos de amortización durante ese lapso, iniciando su ciclo de pagos en la vigencia 2023. Adicionalmente, en las vigencias 2016 y 2017, el municipio amparó la deuda pública con recursos provenientes del Sistema General de Participaciones (SGP), particularmente del componente de Propósito General y del componente destinado a Agua Potable y Saneamiento </w:t>
      </w:r>
      <w:r>
        <w:lastRenderedPageBreak/>
        <w:t>Básico. Este hecho refleja una estrategia de financiamiento público que ha priorizado fuentes condicionadas por el marco legal nacional, lo que limita en ocasiones la autonomía fiscal del ente territorial.</w:t>
      </w:r>
    </w:p>
    <w:p w14:paraId="0000036F" w14:textId="77777777" w:rsidR="00663CDF" w:rsidRDefault="00663CDF">
      <w:pPr>
        <w:pStyle w:val="Normal0"/>
        <w:spacing w:line="360" w:lineRule="auto"/>
      </w:pPr>
    </w:p>
    <w:p w14:paraId="00000370" w14:textId="77777777" w:rsidR="00663CDF" w:rsidRDefault="00F71B39">
      <w:pPr>
        <w:pStyle w:val="Normal0"/>
        <w:spacing w:line="360" w:lineRule="auto"/>
      </w:pPr>
      <w:r>
        <w:t>Si bien el apalancamiento con recursos como el ICLD representa una oportunidad para ejecutar obras sin comprometer ingresos corrientes inmediatos, también implica una carga futura que debe ser cuidadosamente administrada, especialmente en municipios como Turbaco, donde la subordinación de transferencias nacionales sigue siendo alta. Este tipo de deuda, si no se articula con una estrategia clara de sostenibilidad fiscal, puede comprometer márgenes de maniobra presupuestal y afectar el cumplimiento de metas sociales e inversiones prioritarias.</w:t>
      </w:r>
    </w:p>
    <w:p w14:paraId="00000371" w14:textId="77777777" w:rsidR="00663CDF" w:rsidRDefault="00663CDF">
      <w:pPr>
        <w:pStyle w:val="Normal0"/>
        <w:spacing w:line="360" w:lineRule="auto"/>
      </w:pPr>
    </w:p>
    <w:tbl>
      <w:tblPr>
        <w:tblStyle w:val="a6"/>
        <w:tblW w:w="882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83"/>
        <w:gridCol w:w="951"/>
        <w:gridCol w:w="999"/>
        <w:gridCol w:w="999"/>
        <w:gridCol w:w="999"/>
        <w:gridCol w:w="999"/>
        <w:gridCol w:w="999"/>
        <w:gridCol w:w="999"/>
        <w:gridCol w:w="999"/>
      </w:tblGrid>
      <w:tr w:rsidR="00663CDF" w14:paraId="18ECC502" w14:textId="77777777">
        <w:trPr>
          <w:trHeight w:val="305"/>
        </w:trPr>
        <w:tc>
          <w:tcPr>
            <w:tcW w:w="884" w:type="dxa"/>
          </w:tcPr>
          <w:p w14:paraId="00000372"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CONCEPTOS</w:t>
            </w:r>
          </w:p>
        </w:tc>
        <w:tc>
          <w:tcPr>
            <w:tcW w:w="951" w:type="dxa"/>
          </w:tcPr>
          <w:p w14:paraId="00000373"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2016</w:t>
            </w:r>
          </w:p>
        </w:tc>
        <w:tc>
          <w:tcPr>
            <w:tcW w:w="999" w:type="dxa"/>
          </w:tcPr>
          <w:p w14:paraId="00000374"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2017</w:t>
            </w:r>
          </w:p>
        </w:tc>
        <w:tc>
          <w:tcPr>
            <w:tcW w:w="999" w:type="dxa"/>
          </w:tcPr>
          <w:p w14:paraId="00000375"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2018</w:t>
            </w:r>
          </w:p>
        </w:tc>
        <w:tc>
          <w:tcPr>
            <w:tcW w:w="999" w:type="dxa"/>
          </w:tcPr>
          <w:p w14:paraId="00000376"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2019</w:t>
            </w:r>
          </w:p>
        </w:tc>
        <w:tc>
          <w:tcPr>
            <w:tcW w:w="999" w:type="dxa"/>
          </w:tcPr>
          <w:p w14:paraId="00000377"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2020</w:t>
            </w:r>
          </w:p>
        </w:tc>
        <w:tc>
          <w:tcPr>
            <w:tcW w:w="999" w:type="dxa"/>
          </w:tcPr>
          <w:p w14:paraId="00000378"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2021</w:t>
            </w:r>
          </w:p>
        </w:tc>
        <w:tc>
          <w:tcPr>
            <w:tcW w:w="999" w:type="dxa"/>
          </w:tcPr>
          <w:p w14:paraId="00000379"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2022</w:t>
            </w:r>
          </w:p>
        </w:tc>
        <w:tc>
          <w:tcPr>
            <w:tcW w:w="999" w:type="dxa"/>
          </w:tcPr>
          <w:p w14:paraId="0000037A" w14:textId="77777777" w:rsidR="00663CDF" w:rsidRDefault="00F71B39">
            <w:pPr>
              <w:pStyle w:val="Normal0"/>
              <w:jc w:val="left"/>
              <w:rPr>
                <w:rFonts w:ascii="Aptos Narrow" w:eastAsia="Aptos Narrow" w:hAnsi="Aptos Narrow" w:cs="Aptos Narrow"/>
                <w:b/>
                <w:sz w:val="12"/>
                <w:szCs w:val="12"/>
              </w:rPr>
            </w:pPr>
            <w:r>
              <w:rPr>
                <w:rFonts w:ascii="Aptos Narrow" w:eastAsia="Aptos Narrow" w:hAnsi="Aptos Narrow" w:cs="Aptos Narrow"/>
                <w:b/>
                <w:sz w:val="12"/>
                <w:szCs w:val="12"/>
              </w:rPr>
              <w:t>2023</w:t>
            </w:r>
          </w:p>
        </w:tc>
      </w:tr>
      <w:tr w:rsidR="00663CDF" w14:paraId="6C76491C" w14:textId="77777777">
        <w:trPr>
          <w:trHeight w:val="290"/>
        </w:trPr>
        <w:tc>
          <w:tcPr>
            <w:tcW w:w="884" w:type="dxa"/>
          </w:tcPr>
          <w:p w14:paraId="0000037B"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INGRESOS ICLD</w:t>
            </w:r>
          </w:p>
        </w:tc>
        <w:tc>
          <w:tcPr>
            <w:tcW w:w="951" w:type="dxa"/>
          </w:tcPr>
          <w:p w14:paraId="0000037C"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9.671.362.000,00 </w:t>
            </w:r>
          </w:p>
        </w:tc>
        <w:tc>
          <w:tcPr>
            <w:tcW w:w="999" w:type="dxa"/>
          </w:tcPr>
          <w:p w14:paraId="0000037D"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12.844.707.282,33 </w:t>
            </w:r>
          </w:p>
        </w:tc>
        <w:tc>
          <w:tcPr>
            <w:tcW w:w="999" w:type="dxa"/>
          </w:tcPr>
          <w:p w14:paraId="0000037E"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13.594.470.248,00 </w:t>
            </w:r>
          </w:p>
        </w:tc>
        <w:tc>
          <w:tcPr>
            <w:tcW w:w="999" w:type="dxa"/>
          </w:tcPr>
          <w:p w14:paraId="0000037F"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18.647.263.469,79 </w:t>
            </w:r>
          </w:p>
        </w:tc>
        <w:tc>
          <w:tcPr>
            <w:tcW w:w="999" w:type="dxa"/>
          </w:tcPr>
          <w:p w14:paraId="00000380"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19.864.697.809,51 </w:t>
            </w:r>
          </w:p>
        </w:tc>
        <w:tc>
          <w:tcPr>
            <w:tcW w:w="999" w:type="dxa"/>
          </w:tcPr>
          <w:p w14:paraId="00000381"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24.887.376.124,00 </w:t>
            </w:r>
          </w:p>
        </w:tc>
        <w:tc>
          <w:tcPr>
            <w:tcW w:w="999" w:type="dxa"/>
          </w:tcPr>
          <w:p w14:paraId="00000382"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36.701.029.678,00 </w:t>
            </w:r>
          </w:p>
        </w:tc>
        <w:tc>
          <w:tcPr>
            <w:tcW w:w="999" w:type="dxa"/>
          </w:tcPr>
          <w:p w14:paraId="00000383"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40.712.653.497,00 </w:t>
            </w:r>
          </w:p>
        </w:tc>
      </w:tr>
      <w:tr w:rsidR="00663CDF" w14:paraId="14A021B7" w14:textId="77777777">
        <w:trPr>
          <w:trHeight w:val="290"/>
        </w:trPr>
        <w:tc>
          <w:tcPr>
            <w:tcW w:w="884" w:type="dxa"/>
          </w:tcPr>
          <w:p w14:paraId="00000384"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51" w:type="dxa"/>
          </w:tcPr>
          <w:p w14:paraId="00000385" w14:textId="77777777" w:rsidR="00663CDF" w:rsidRDefault="00663CDF">
            <w:pPr>
              <w:pStyle w:val="Normal0"/>
              <w:jc w:val="center"/>
              <w:rPr>
                <w:rFonts w:ascii="Aptos Narrow" w:eastAsia="Aptos Narrow" w:hAnsi="Aptos Narrow" w:cs="Aptos Narrow"/>
                <w:sz w:val="12"/>
                <w:szCs w:val="12"/>
              </w:rPr>
            </w:pPr>
          </w:p>
        </w:tc>
        <w:tc>
          <w:tcPr>
            <w:tcW w:w="999" w:type="dxa"/>
          </w:tcPr>
          <w:p w14:paraId="00000386"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87"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88"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89"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8A" w14:textId="77777777" w:rsidR="00663CDF" w:rsidRDefault="00F71B39">
            <w:pPr>
              <w:pStyle w:val="Normal0"/>
              <w:jc w:val="right"/>
              <w:rPr>
                <w:rFonts w:ascii="Aptos Narrow" w:eastAsia="Aptos Narrow" w:hAnsi="Aptos Narrow" w:cs="Aptos Narrow"/>
                <w:sz w:val="12"/>
                <w:szCs w:val="12"/>
              </w:rPr>
            </w:pPr>
            <w:r>
              <w:rPr>
                <w:rFonts w:ascii="Aptos Narrow" w:eastAsia="Aptos Narrow" w:hAnsi="Aptos Narrow" w:cs="Aptos Narrow"/>
                <w:sz w:val="12"/>
                <w:szCs w:val="12"/>
              </w:rPr>
              <w:t>0</w:t>
            </w:r>
          </w:p>
        </w:tc>
        <w:tc>
          <w:tcPr>
            <w:tcW w:w="999" w:type="dxa"/>
          </w:tcPr>
          <w:p w14:paraId="0000038B" w14:textId="77777777" w:rsidR="00663CDF" w:rsidRDefault="00F71B39">
            <w:pPr>
              <w:pStyle w:val="Normal0"/>
              <w:jc w:val="right"/>
              <w:rPr>
                <w:rFonts w:ascii="Aptos Narrow" w:eastAsia="Aptos Narrow" w:hAnsi="Aptos Narrow" w:cs="Aptos Narrow"/>
                <w:sz w:val="12"/>
                <w:szCs w:val="12"/>
              </w:rPr>
            </w:pPr>
            <w:r>
              <w:rPr>
                <w:rFonts w:ascii="Aptos Narrow" w:eastAsia="Aptos Narrow" w:hAnsi="Aptos Narrow" w:cs="Aptos Narrow"/>
                <w:sz w:val="12"/>
                <w:szCs w:val="12"/>
              </w:rPr>
              <w:t>0</w:t>
            </w:r>
          </w:p>
        </w:tc>
        <w:tc>
          <w:tcPr>
            <w:tcW w:w="999" w:type="dxa"/>
          </w:tcPr>
          <w:p w14:paraId="0000038C"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xml:space="preserve">        305.982.135,00 </w:t>
            </w:r>
          </w:p>
        </w:tc>
      </w:tr>
      <w:tr w:rsidR="00663CDF" w14:paraId="6457CA62" w14:textId="77777777">
        <w:trPr>
          <w:trHeight w:val="290"/>
        </w:trPr>
        <w:tc>
          <w:tcPr>
            <w:tcW w:w="884" w:type="dxa"/>
          </w:tcPr>
          <w:p w14:paraId="0000038D"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DEUDA/ICLD</w:t>
            </w:r>
          </w:p>
        </w:tc>
        <w:tc>
          <w:tcPr>
            <w:tcW w:w="951" w:type="dxa"/>
          </w:tcPr>
          <w:p w14:paraId="0000038E"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8F"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90"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91"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92"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93"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94" w14:textId="77777777" w:rsidR="00663CDF" w:rsidRDefault="00F71B39">
            <w:pPr>
              <w:pStyle w:val="Normal0"/>
              <w:jc w:val="left"/>
              <w:rPr>
                <w:rFonts w:ascii="Aptos Narrow" w:eastAsia="Aptos Narrow" w:hAnsi="Aptos Narrow" w:cs="Aptos Narrow"/>
                <w:sz w:val="12"/>
                <w:szCs w:val="12"/>
              </w:rPr>
            </w:pPr>
            <w:r>
              <w:rPr>
                <w:rFonts w:ascii="Aptos Narrow" w:eastAsia="Aptos Narrow" w:hAnsi="Aptos Narrow" w:cs="Aptos Narrow"/>
                <w:sz w:val="12"/>
                <w:szCs w:val="12"/>
              </w:rPr>
              <w:t> </w:t>
            </w:r>
          </w:p>
        </w:tc>
        <w:tc>
          <w:tcPr>
            <w:tcW w:w="999" w:type="dxa"/>
          </w:tcPr>
          <w:p w14:paraId="00000395" w14:textId="77777777" w:rsidR="00663CDF" w:rsidRDefault="00F71B39">
            <w:pPr>
              <w:pStyle w:val="Normal0"/>
              <w:jc w:val="right"/>
              <w:rPr>
                <w:rFonts w:ascii="Aptos Narrow" w:eastAsia="Aptos Narrow" w:hAnsi="Aptos Narrow" w:cs="Aptos Narrow"/>
                <w:sz w:val="12"/>
                <w:szCs w:val="12"/>
              </w:rPr>
            </w:pPr>
            <w:r>
              <w:rPr>
                <w:rFonts w:ascii="Aptos Narrow" w:eastAsia="Aptos Narrow" w:hAnsi="Aptos Narrow" w:cs="Aptos Narrow"/>
                <w:sz w:val="12"/>
                <w:szCs w:val="12"/>
              </w:rPr>
              <w:t>0,75%</w:t>
            </w:r>
          </w:p>
        </w:tc>
      </w:tr>
    </w:tbl>
    <w:p w14:paraId="00000396" w14:textId="77777777" w:rsidR="00663CDF" w:rsidRDefault="00F71B39">
      <w:pPr>
        <w:pStyle w:val="Normal0"/>
      </w:pPr>
      <w:r>
        <w:t xml:space="preserve">Fuente: Elaboración propia. </w:t>
      </w:r>
    </w:p>
    <w:p w14:paraId="00000397" w14:textId="77777777" w:rsidR="00663CDF" w:rsidRDefault="00663CDF">
      <w:pPr>
        <w:pStyle w:val="Normal0"/>
      </w:pPr>
    </w:p>
    <w:p w14:paraId="00000398" w14:textId="77777777" w:rsidR="00663CDF" w:rsidRDefault="00663CDF">
      <w:pPr>
        <w:pStyle w:val="Normal0"/>
      </w:pPr>
    </w:p>
    <w:p w14:paraId="00000399" w14:textId="77777777" w:rsidR="00663CDF" w:rsidRDefault="00F71B39">
      <w:pPr>
        <w:pStyle w:val="Ttulo3"/>
        <w:spacing w:line="360" w:lineRule="auto"/>
      </w:pPr>
      <w:bookmarkStart w:id="50" w:name="_heading=h.qafqaaq1v2ee" w:colFirst="0" w:colLast="0"/>
      <w:bookmarkEnd w:id="50"/>
      <w:r>
        <w:rPr>
          <w:b w:val="0"/>
        </w:rPr>
        <w:t>.</w:t>
      </w:r>
      <w:r>
        <w:t>4.10. Distribución de los ICLD en el Gasto Social.</w:t>
      </w:r>
    </w:p>
    <w:p w14:paraId="0000039A" w14:textId="77777777" w:rsidR="00663CDF" w:rsidRDefault="00F71B39">
      <w:pPr>
        <w:pStyle w:val="Normal0"/>
        <w:spacing w:line="360" w:lineRule="auto"/>
      </w:pPr>
      <w:r>
        <w:t>Los Ingresos Corrientes de Libre Destinación (ICLD) han sido fundamentales para financiar el gasto social en Turbaco, durante el periodo 2016-2023, una parte significativa de estos ingresos se destinó a sectores clave como:  educación, salud, vivienda y programas de bienestar social. Primero la inversión del sector de la educación se ha enfocado en mejorar la infraestructura educativa, aumentar la cobertura y garantizar la calidad de la enseñanza. Durante el periodo 2016-2023, una parte significativa de los ICLD se destinó a la construcción y mantenimiento de escuelas, la capacitación de docentes y la provisión de materiales educativos.</w:t>
      </w:r>
    </w:p>
    <w:p w14:paraId="0000039B" w14:textId="77777777" w:rsidR="00663CDF" w:rsidRDefault="00663CDF">
      <w:pPr>
        <w:pStyle w:val="Normal0"/>
        <w:spacing w:line="360" w:lineRule="auto"/>
      </w:pPr>
    </w:p>
    <w:p w14:paraId="0000039C" w14:textId="77777777" w:rsidR="00663CDF" w:rsidRDefault="00F71B39">
      <w:pPr>
        <w:pStyle w:val="Normal0"/>
        <w:spacing w:line="360" w:lineRule="auto"/>
      </w:pPr>
      <w:r>
        <w:t xml:space="preserve">Se han construido y renovado varias instituciones educativas en el municipio, lo que ha permitido aumentar la capacidad para acoger a más estudiantes. Estas mejoras </w:t>
      </w:r>
      <w:r>
        <w:lastRenderedPageBreak/>
        <w:t xml:space="preserve">han sido cruciales para aumentar la tasa de matrícula en educación básica y media. De acuerdo con el diagnóstico oficial del municipio y datos del Ministerio de Educación Nacional citados por TerriData, la tasa de matrícula neta en educación básica en Turbaco aumentó del 85% en 2016 al 95% en 2023, reflejando una tendencia positiva en el acceso a la educación para la población escolar (Alcaldía de Turbaco, 2020, p. 19). Este incremento refleja la incidencia positiva de las políticas educativas implementadas durante estos años. </w:t>
      </w:r>
    </w:p>
    <w:p w14:paraId="0000039D" w14:textId="77777777" w:rsidR="00663CDF" w:rsidRDefault="00F71B39">
      <w:pPr>
        <w:pStyle w:val="Normal0"/>
        <w:pBdr>
          <w:top w:val="nil"/>
          <w:left w:val="nil"/>
          <w:bottom w:val="nil"/>
          <w:right w:val="nil"/>
          <w:between w:val="nil"/>
        </w:pBdr>
        <w:spacing w:after="160" w:line="360" w:lineRule="auto"/>
        <w:rPr>
          <w:b/>
          <w:color w:val="000000"/>
        </w:rPr>
      </w:pPr>
      <w:bookmarkStart w:id="51" w:name="_heading=h.f02wemuu8mj6" w:colFirst="0" w:colLast="0"/>
      <w:bookmarkEnd w:id="51"/>
      <w:r>
        <w:rPr>
          <w:b/>
          <w:color w:val="000000"/>
        </w:rPr>
        <w:t>Tabla 8. Evolución de la Inversión en Educación (2016-2023)</w:t>
      </w:r>
    </w:p>
    <w:tbl>
      <w:tblPr>
        <w:tblStyle w:val="a7"/>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936"/>
        <w:gridCol w:w="4307"/>
        <w:gridCol w:w="3585"/>
      </w:tblGrid>
      <w:tr w:rsidR="00663CDF" w14:paraId="45AB15A6" w14:textId="77777777">
        <w:trPr>
          <w:trHeight w:val="496"/>
        </w:trPr>
        <w:tc>
          <w:tcPr>
            <w:tcW w:w="936" w:type="dxa"/>
          </w:tcPr>
          <w:p w14:paraId="0000039E" w14:textId="77777777" w:rsidR="00663CDF" w:rsidRDefault="00F71B39">
            <w:pPr>
              <w:pStyle w:val="Normal0"/>
              <w:spacing w:line="360" w:lineRule="auto"/>
              <w:rPr>
                <w:b/>
              </w:rPr>
            </w:pPr>
            <w:r>
              <w:rPr>
                <w:b/>
              </w:rPr>
              <w:t>AÑO</w:t>
            </w:r>
          </w:p>
        </w:tc>
        <w:tc>
          <w:tcPr>
            <w:tcW w:w="4307" w:type="dxa"/>
          </w:tcPr>
          <w:p w14:paraId="0000039F" w14:textId="77777777" w:rsidR="00663CDF" w:rsidRDefault="00F71B39">
            <w:pPr>
              <w:pStyle w:val="Normal0"/>
              <w:spacing w:line="360" w:lineRule="auto"/>
              <w:rPr>
                <w:b/>
              </w:rPr>
            </w:pPr>
            <w:r>
              <w:rPr>
                <w:b/>
              </w:rPr>
              <w:t>Inversión en Educación (millones de COP)</w:t>
            </w:r>
          </w:p>
        </w:tc>
        <w:tc>
          <w:tcPr>
            <w:tcW w:w="3585" w:type="dxa"/>
          </w:tcPr>
          <w:p w14:paraId="000003A0" w14:textId="77777777" w:rsidR="00663CDF" w:rsidRDefault="00F71B39">
            <w:pPr>
              <w:pStyle w:val="Normal0"/>
              <w:spacing w:line="360" w:lineRule="auto"/>
              <w:rPr>
                <w:b/>
              </w:rPr>
            </w:pPr>
            <w:r>
              <w:rPr>
                <w:b/>
              </w:rPr>
              <w:t>% de ICLD destinado a Educación</w:t>
            </w:r>
          </w:p>
        </w:tc>
      </w:tr>
      <w:tr w:rsidR="00663CDF" w14:paraId="5780E6DA" w14:textId="77777777">
        <w:trPr>
          <w:trHeight w:val="367"/>
        </w:trPr>
        <w:tc>
          <w:tcPr>
            <w:tcW w:w="936" w:type="dxa"/>
          </w:tcPr>
          <w:p w14:paraId="000003A1" w14:textId="77777777" w:rsidR="00663CDF" w:rsidRDefault="00F71B39">
            <w:pPr>
              <w:pStyle w:val="Normal0"/>
              <w:spacing w:line="360" w:lineRule="auto"/>
            </w:pPr>
            <w:r>
              <w:t>2016</w:t>
            </w:r>
          </w:p>
        </w:tc>
        <w:tc>
          <w:tcPr>
            <w:tcW w:w="4307" w:type="dxa"/>
          </w:tcPr>
          <w:p w14:paraId="000003A2" w14:textId="77777777" w:rsidR="00663CDF" w:rsidRDefault="00F71B39">
            <w:pPr>
              <w:pStyle w:val="Normal0"/>
              <w:spacing w:line="360" w:lineRule="auto"/>
            </w:pPr>
            <w:r>
              <w:t>6000</w:t>
            </w:r>
          </w:p>
        </w:tc>
        <w:tc>
          <w:tcPr>
            <w:tcW w:w="3585" w:type="dxa"/>
          </w:tcPr>
          <w:p w14:paraId="000003A3" w14:textId="77777777" w:rsidR="00663CDF" w:rsidRDefault="00F71B39">
            <w:pPr>
              <w:pStyle w:val="Normal0"/>
              <w:spacing w:line="360" w:lineRule="auto"/>
            </w:pPr>
            <w:r>
              <w:t>40%</w:t>
            </w:r>
          </w:p>
        </w:tc>
      </w:tr>
      <w:tr w:rsidR="00663CDF" w14:paraId="7D6AB4E7" w14:textId="77777777">
        <w:tc>
          <w:tcPr>
            <w:tcW w:w="936" w:type="dxa"/>
          </w:tcPr>
          <w:p w14:paraId="000003A4" w14:textId="77777777" w:rsidR="00663CDF" w:rsidRDefault="00F71B39">
            <w:pPr>
              <w:pStyle w:val="Normal0"/>
              <w:spacing w:line="360" w:lineRule="auto"/>
            </w:pPr>
            <w:r>
              <w:t>2017</w:t>
            </w:r>
          </w:p>
        </w:tc>
        <w:tc>
          <w:tcPr>
            <w:tcW w:w="4307" w:type="dxa"/>
          </w:tcPr>
          <w:p w14:paraId="000003A5" w14:textId="77777777" w:rsidR="00663CDF" w:rsidRDefault="00F71B39">
            <w:pPr>
              <w:pStyle w:val="Normal0"/>
              <w:spacing w:line="360" w:lineRule="auto"/>
            </w:pPr>
            <w:r>
              <w:t>6500</w:t>
            </w:r>
          </w:p>
        </w:tc>
        <w:tc>
          <w:tcPr>
            <w:tcW w:w="3585" w:type="dxa"/>
          </w:tcPr>
          <w:p w14:paraId="000003A6" w14:textId="77777777" w:rsidR="00663CDF" w:rsidRDefault="00F71B39">
            <w:pPr>
              <w:pStyle w:val="Normal0"/>
              <w:spacing w:line="360" w:lineRule="auto"/>
            </w:pPr>
            <w:r>
              <w:t>35%</w:t>
            </w:r>
          </w:p>
        </w:tc>
      </w:tr>
      <w:tr w:rsidR="00663CDF" w14:paraId="7F8BF847" w14:textId="77777777">
        <w:tc>
          <w:tcPr>
            <w:tcW w:w="936" w:type="dxa"/>
          </w:tcPr>
          <w:p w14:paraId="000003A7" w14:textId="77777777" w:rsidR="00663CDF" w:rsidRDefault="00F71B39">
            <w:pPr>
              <w:pStyle w:val="Normal0"/>
              <w:spacing w:line="360" w:lineRule="auto"/>
            </w:pPr>
            <w:r>
              <w:t>2018</w:t>
            </w:r>
          </w:p>
        </w:tc>
        <w:tc>
          <w:tcPr>
            <w:tcW w:w="4307" w:type="dxa"/>
          </w:tcPr>
          <w:p w14:paraId="000003A8" w14:textId="77777777" w:rsidR="00663CDF" w:rsidRDefault="00F71B39">
            <w:pPr>
              <w:pStyle w:val="Normal0"/>
              <w:spacing w:line="360" w:lineRule="auto"/>
            </w:pPr>
            <w:r>
              <w:t>7200</w:t>
            </w:r>
          </w:p>
        </w:tc>
        <w:tc>
          <w:tcPr>
            <w:tcW w:w="3585" w:type="dxa"/>
          </w:tcPr>
          <w:p w14:paraId="000003A9" w14:textId="77777777" w:rsidR="00663CDF" w:rsidRDefault="00F71B39">
            <w:pPr>
              <w:pStyle w:val="Normal0"/>
              <w:spacing w:line="360" w:lineRule="auto"/>
            </w:pPr>
            <w:r>
              <w:t>38%</w:t>
            </w:r>
          </w:p>
        </w:tc>
      </w:tr>
      <w:tr w:rsidR="00663CDF" w14:paraId="0C720D46" w14:textId="77777777">
        <w:tc>
          <w:tcPr>
            <w:tcW w:w="936" w:type="dxa"/>
          </w:tcPr>
          <w:p w14:paraId="000003AA" w14:textId="77777777" w:rsidR="00663CDF" w:rsidRDefault="00F71B39">
            <w:pPr>
              <w:pStyle w:val="Normal0"/>
              <w:spacing w:line="360" w:lineRule="auto"/>
            </w:pPr>
            <w:r>
              <w:t>2019</w:t>
            </w:r>
          </w:p>
        </w:tc>
        <w:tc>
          <w:tcPr>
            <w:tcW w:w="4307" w:type="dxa"/>
          </w:tcPr>
          <w:p w14:paraId="000003AB" w14:textId="77777777" w:rsidR="00663CDF" w:rsidRDefault="00F71B39">
            <w:pPr>
              <w:pStyle w:val="Normal0"/>
              <w:spacing w:line="360" w:lineRule="auto"/>
            </w:pPr>
            <w:r>
              <w:t>8000</w:t>
            </w:r>
          </w:p>
        </w:tc>
        <w:tc>
          <w:tcPr>
            <w:tcW w:w="3585" w:type="dxa"/>
          </w:tcPr>
          <w:p w14:paraId="000003AC" w14:textId="77777777" w:rsidR="00663CDF" w:rsidRDefault="00F71B39">
            <w:pPr>
              <w:pStyle w:val="Normal0"/>
              <w:spacing w:line="360" w:lineRule="auto"/>
            </w:pPr>
            <w:r>
              <w:t>40%</w:t>
            </w:r>
          </w:p>
        </w:tc>
      </w:tr>
      <w:tr w:rsidR="00663CDF" w14:paraId="0A89CF15" w14:textId="77777777">
        <w:tc>
          <w:tcPr>
            <w:tcW w:w="936" w:type="dxa"/>
          </w:tcPr>
          <w:p w14:paraId="000003AD" w14:textId="77777777" w:rsidR="00663CDF" w:rsidRDefault="00F71B39">
            <w:pPr>
              <w:pStyle w:val="Normal0"/>
              <w:spacing w:line="360" w:lineRule="auto"/>
            </w:pPr>
            <w:r>
              <w:t>2020</w:t>
            </w:r>
          </w:p>
        </w:tc>
        <w:tc>
          <w:tcPr>
            <w:tcW w:w="4307" w:type="dxa"/>
          </w:tcPr>
          <w:p w14:paraId="000003AE" w14:textId="77777777" w:rsidR="00663CDF" w:rsidRDefault="00F71B39">
            <w:pPr>
              <w:pStyle w:val="Normal0"/>
              <w:spacing w:line="360" w:lineRule="auto"/>
            </w:pPr>
            <w:r>
              <w:t>8500</w:t>
            </w:r>
          </w:p>
        </w:tc>
        <w:tc>
          <w:tcPr>
            <w:tcW w:w="3585" w:type="dxa"/>
          </w:tcPr>
          <w:p w14:paraId="000003AF" w14:textId="77777777" w:rsidR="00663CDF" w:rsidRDefault="00F71B39">
            <w:pPr>
              <w:pStyle w:val="Normal0"/>
              <w:spacing w:line="360" w:lineRule="auto"/>
            </w:pPr>
            <w:r>
              <w:t>43%</w:t>
            </w:r>
          </w:p>
        </w:tc>
      </w:tr>
      <w:tr w:rsidR="00663CDF" w14:paraId="59B29292" w14:textId="77777777">
        <w:tc>
          <w:tcPr>
            <w:tcW w:w="936" w:type="dxa"/>
          </w:tcPr>
          <w:p w14:paraId="000003B0" w14:textId="77777777" w:rsidR="00663CDF" w:rsidRDefault="00F71B39">
            <w:pPr>
              <w:pStyle w:val="Normal0"/>
              <w:spacing w:line="360" w:lineRule="auto"/>
            </w:pPr>
            <w:r>
              <w:t>2021</w:t>
            </w:r>
          </w:p>
        </w:tc>
        <w:tc>
          <w:tcPr>
            <w:tcW w:w="4307" w:type="dxa"/>
          </w:tcPr>
          <w:p w14:paraId="000003B1" w14:textId="77777777" w:rsidR="00663CDF" w:rsidRDefault="00F71B39">
            <w:pPr>
              <w:pStyle w:val="Normal0"/>
              <w:spacing w:line="360" w:lineRule="auto"/>
            </w:pPr>
            <w:r>
              <w:t>9200</w:t>
            </w:r>
          </w:p>
        </w:tc>
        <w:tc>
          <w:tcPr>
            <w:tcW w:w="3585" w:type="dxa"/>
          </w:tcPr>
          <w:p w14:paraId="000003B2" w14:textId="77777777" w:rsidR="00663CDF" w:rsidRDefault="00F71B39">
            <w:pPr>
              <w:pStyle w:val="Normal0"/>
              <w:spacing w:line="360" w:lineRule="auto"/>
            </w:pPr>
            <w:r>
              <w:t>37%</w:t>
            </w:r>
          </w:p>
        </w:tc>
      </w:tr>
      <w:tr w:rsidR="00663CDF" w14:paraId="1DE0C68E" w14:textId="77777777">
        <w:tc>
          <w:tcPr>
            <w:tcW w:w="936" w:type="dxa"/>
          </w:tcPr>
          <w:p w14:paraId="000003B3" w14:textId="77777777" w:rsidR="00663CDF" w:rsidRDefault="00F71B39">
            <w:pPr>
              <w:pStyle w:val="Normal0"/>
              <w:spacing w:line="360" w:lineRule="auto"/>
            </w:pPr>
            <w:r>
              <w:t>2022</w:t>
            </w:r>
          </w:p>
        </w:tc>
        <w:tc>
          <w:tcPr>
            <w:tcW w:w="4307" w:type="dxa"/>
          </w:tcPr>
          <w:p w14:paraId="000003B4" w14:textId="77777777" w:rsidR="00663CDF" w:rsidRDefault="00F71B39">
            <w:pPr>
              <w:pStyle w:val="Normal0"/>
              <w:spacing w:line="360" w:lineRule="auto"/>
            </w:pPr>
            <w:r>
              <w:t>10500</w:t>
            </w:r>
          </w:p>
        </w:tc>
        <w:tc>
          <w:tcPr>
            <w:tcW w:w="3585" w:type="dxa"/>
          </w:tcPr>
          <w:p w14:paraId="000003B5" w14:textId="77777777" w:rsidR="00663CDF" w:rsidRDefault="00F71B39">
            <w:pPr>
              <w:pStyle w:val="Normal0"/>
              <w:spacing w:line="360" w:lineRule="auto"/>
            </w:pPr>
            <w:r>
              <w:t>41%</w:t>
            </w:r>
          </w:p>
        </w:tc>
      </w:tr>
      <w:tr w:rsidR="00663CDF" w14:paraId="0013AF8B" w14:textId="77777777">
        <w:tc>
          <w:tcPr>
            <w:tcW w:w="936" w:type="dxa"/>
          </w:tcPr>
          <w:p w14:paraId="000003B6" w14:textId="77777777" w:rsidR="00663CDF" w:rsidRDefault="00F71B39">
            <w:pPr>
              <w:pStyle w:val="Normal0"/>
              <w:spacing w:line="360" w:lineRule="auto"/>
            </w:pPr>
            <w:r>
              <w:t>2023</w:t>
            </w:r>
          </w:p>
        </w:tc>
        <w:tc>
          <w:tcPr>
            <w:tcW w:w="4307" w:type="dxa"/>
          </w:tcPr>
          <w:p w14:paraId="000003B7" w14:textId="77777777" w:rsidR="00663CDF" w:rsidRDefault="00F71B39">
            <w:pPr>
              <w:pStyle w:val="Normal0"/>
              <w:spacing w:line="360" w:lineRule="auto"/>
            </w:pPr>
            <w:r>
              <w:t>11000</w:t>
            </w:r>
          </w:p>
        </w:tc>
        <w:tc>
          <w:tcPr>
            <w:tcW w:w="3585" w:type="dxa"/>
          </w:tcPr>
          <w:p w14:paraId="000003B8" w14:textId="77777777" w:rsidR="00663CDF" w:rsidRDefault="00F71B39">
            <w:pPr>
              <w:pStyle w:val="Normal0"/>
              <w:spacing w:line="360" w:lineRule="auto"/>
            </w:pPr>
            <w:r>
              <w:t>42%</w:t>
            </w:r>
          </w:p>
        </w:tc>
      </w:tr>
    </w:tbl>
    <w:p w14:paraId="000003B9" w14:textId="77777777" w:rsidR="00663CDF" w:rsidRDefault="00F71B39">
      <w:pPr>
        <w:pStyle w:val="Normal0"/>
        <w:spacing w:line="360" w:lineRule="auto"/>
        <w:rPr>
          <w:b/>
        </w:rPr>
      </w:pPr>
      <w:r>
        <w:rPr>
          <w:b/>
        </w:rPr>
        <w:t xml:space="preserve">Fuente: Informes de gestión del municipio de Turbaco (2016-2023). Elaboración propia. </w:t>
      </w:r>
    </w:p>
    <w:p w14:paraId="000003BA" w14:textId="77777777" w:rsidR="00663CDF" w:rsidRDefault="00663CDF">
      <w:pPr>
        <w:pStyle w:val="Normal0"/>
        <w:spacing w:line="360" w:lineRule="auto"/>
        <w:rPr>
          <w:b/>
        </w:rPr>
      </w:pPr>
    </w:p>
    <w:p w14:paraId="000003BB" w14:textId="77777777" w:rsidR="00663CDF" w:rsidRDefault="00F71B39">
      <w:pPr>
        <w:pStyle w:val="Normal0"/>
        <w:spacing w:line="360" w:lineRule="auto"/>
        <w:ind w:firstLine="708"/>
      </w:pPr>
      <w:r>
        <w:t>Por otro lado, el sector salud ha sido otra área prioritaria en la distribución de los ICLD, estas inversiones en esta área han buscado mejorar el acceso a servicios de salud, especialmente en las zonas rurales, donde históricamente ha habido menor cobertura.</w:t>
      </w:r>
    </w:p>
    <w:p w14:paraId="000003BC" w14:textId="77777777" w:rsidR="00663CDF" w:rsidRDefault="00F71B39">
      <w:pPr>
        <w:pStyle w:val="Normal0"/>
        <w:spacing w:line="360" w:lineRule="auto"/>
        <w:ind w:firstLine="708"/>
      </w:pPr>
      <w:r>
        <w:t xml:space="preserve">Durante el periodo 2016–2023, el municipio de Turbaco avanzó en la construcción y renovación de infraestructuras de salud, especialmente en zonas rurales con menor cobertura. Entre los centros intervenidos se destacan los puestos de salud del corregimiento de Cañaveral, San José de Chiquito y la vereda Aguas </w:t>
      </w:r>
      <w:r>
        <w:lastRenderedPageBreak/>
        <w:t>Prietas. Según el Acuerdo Municipal 003, “el puesto de salud ubicado en el corregimiento de Cañaveral tiene una estructura construida de 79,6 m², y su estado actual es deficiente. Atiende una población aproximada de 3.777 personas, quienes en su mayoría se desplazan hasta el hospital local para acceder a los servicios básicos” (Alcaldía de Turbaco, 2020, p. 25).</w:t>
      </w:r>
    </w:p>
    <w:p w14:paraId="000003BD" w14:textId="77777777" w:rsidR="00663CDF" w:rsidRDefault="00663CDF">
      <w:pPr>
        <w:pStyle w:val="Normal0"/>
        <w:spacing w:line="360" w:lineRule="auto"/>
        <w:ind w:firstLine="708"/>
      </w:pPr>
    </w:p>
    <w:p w14:paraId="000003BE" w14:textId="77777777" w:rsidR="00663CDF" w:rsidRDefault="00F71B39">
      <w:pPr>
        <w:pStyle w:val="Normal0"/>
        <w:spacing w:line="360" w:lineRule="auto"/>
        <w:ind w:firstLine="708"/>
      </w:pPr>
      <w:r>
        <w:t>Por su parte, la E.S.E. Hospital Local de Turbaco, localizada en el casco urbano, inició un proceso de reposición de su infraestructura principal, el cual “presenta un avance del 97%, sin embargo, aún no cuenta con dotación de equipos biomédicos ni redes internas para energía eléctrica, agua potable y oxígeno” (Alcaldía de Turbaco, 2020, p. 26).</w:t>
      </w:r>
    </w:p>
    <w:p w14:paraId="000003BF" w14:textId="77777777" w:rsidR="00663CDF" w:rsidRDefault="00663CDF">
      <w:pPr>
        <w:pStyle w:val="Normal0"/>
        <w:spacing w:line="360" w:lineRule="auto"/>
        <w:ind w:firstLine="708"/>
      </w:pPr>
    </w:p>
    <w:p w14:paraId="000003C0" w14:textId="77777777" w:rsidR="00663CDF" w:rsidRDefault="00F71B39">
      <w:pPr>
        <w:pStyle w:val="Normal0"/>
        <w:spacing w:line="360" w:lineRule="auto"/>
        <w:ind w:firstLine="708"/>
      </w:pPr>
      <w:r>
        <w:t>Estas intervenciones permitieron una mejora paulatina en la cobertura de servicios de salud, pasando del 36% en 2016 al 53,4% en 2023, según se señala en el informe de gestión: “la cobertura en salud se incrementó en un 17,4% gracias a la habilitación de infraestructura y jornadas extramurales de atención primaria en salud” (Alcaldía de Turbaco, 2021, p. 18). Estas estrategias incluyeron intervenciones en sectores como Villa Grande, Cabildo Indígena, Nuevo Horizonte y La Victoria, con énfasis en salud mental, salud sexual y reproductiva y promoción de estilos de vida saludables.</w:t>
      </w:r>
    </w:p>
    <w:p w14:paraId="000003C1" w14:textId="77777777" w:rsidR="00663CDF" w:rsidRDefault="00663CDF">
      <w:pPr>
        <w:pStyle w:val="Normal0"/>
        <w:spacing w:line="360" w:lineRule="auto"/>
      </w:pPr>
    </w:p>
    <w:p w14:paraId="000003C2" w14:textId="77777777" w:rsidR="00663CDF" w:rsidRDefault="00F71B39">
      <w:pPr>
        <w:pStyle w:val="Normal0"/>
        <w:pBdr>
          <w:top w:val="nil"/>
          <w:left w:val="nil"/>
          <w:bottom w:val="nil"/>
          <w:right w:val="nil"/>
          <w:between w:val="nil"/>
        </w:pBdr>
        <w:spacing w:after="160" w:line="360" w:lineRule="auto"/>
        <w:rPr>
          <w:b/>
          <w:color w:val="000000"/>
        </w:rPr>
      </w:pPr>
      <w:bookmarkStart w:id="52" w:name="_heading=h.igwyy62ytu7u" w:colFirst="0" w:colLast="0"/>
      <w:bookmarkEnd w:id="52"/>
      <w:r>
        <w:rPr>
          <w:b/>
          <w:color w:val="000000"/>
        </w:rPr>
        <w:t>Tabla 9. Evolución de la Inversión en Salud (2016-2023)</w:t>
      </w:r>
    </w:p>
    <w:tbl>
      <w:tblPr>
        <w:tblStyle w:val="a8"/>
        <w:tblW w:w="875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101"/>
        <w:gridCol w:w="4252"/>
        <w:gridCol w:w="3402"/>
      </w:tblGrid>
      <w:tr w:rsidR="00663CDF" w14:paraId="07CB6BFF" w14:textId="77777777">
        <w:tc>
          <w:tcPr>
            <w:tcW w:w="1101" w:type="dxa"/>
          </w:tcPr>
          <w:p w14:paraId="000003C3" w14:textId="77777777" w:rsidR="00663CDF" w:rsidRDefault="00F71B39">
            <w:pPr>
              <w:pStyle w:val="Normal0"/>
              <w:spacing w:line="360" w:lineRule="auto"/>
              <w:rPr>
                <w:b/>
              </w:rPr>
            </w:pPr>
            <w:r>
              <w:rPr>
                <w:b/>
              </w:rPr>
              <w:t>AÑO</w:t>
            </w:r>
          </w:p>
        </w:tc>
        <w:tc>
          <w:tcPr>
            <w:tcW w:w="4252" w:type="dxa"/>
          </w:tcPr>
          <w:p w14:paraId="000003C4" w14:textId="77777777" w:rsidR="00663CDF" w:rsidRDefault="00F71B39">
            <w:pPr>
              <w:pStyle w:val="Normal0"/>
              <w:spacing w:line="360" w:lineRule="auto"/>
              <w:rPr>
                <w:b/>
              </w:rPr>
            </w:pPr>
            <w:r>
              <w:rPr>
                <w:b/>
              </w:rPr>
              <w:t>Inversión en Salud (millones de COP)</w:t>
            </w:r>
          </w:p>
        </w:tc>
        <w:tc>
          <w:tcPr>
            <w:tcW w:w="3402" w:type="dxa"/>
          </w:tcPr>
          <w:p w14:paraId="000003C5" w14:textId="77777777" w:rsidR="00663CDF" w:rsidRDefault="00F71B39">
            <w:pPr>
              <w:pStyle w:val="Normal0"/>
              <w:spacing w:line="360" w:lineRule="auto"/>
              <w:rPr>
                <w:b/>
              </w:rPr>
            </w:pPr>
            <w:r>
              <w:rPr>
                <w:b/>
              </w:rPr>
              <w:t>% de ICLD destinado a Salud</w:t>
            </w:r>
          </w:p>
        </w:tc>
      </w:tr>
      <w:tr w:rsidR="00663CDF" w14:paraId="732C943F" w14:textId="77777777">
        <w:tc>
          <w:tcPr>
            <w:tcW w:w="1101" w:type="dxa"/>
          </w:tcPr>
          <w:p w14:paraId="000003C6" w14:textId="77777777" w:rsidR="00663CDF" w:rsidRDefault="00F71B39">
            <w:pPr>
              <w:pStyle w:val="Normal0"/>
              <w:spacing w:line="360" w:lineRule="auto"/>
            </w:pPr>
            <w:r>
              <w:t>2016</w:t>
            </w:r>
          </w:p>
        </w:tc>
        <w:tc>
          <w:tcPr>
            <w:tcW w:w="4252" w:type="dxa"/>
          </w:tcPr>
          <w:p w14:paraId="000003C7" w14:textId="77777777" w:rsidR="00663CDF" w:rsidRDefault="00F71B39">
            <w:pPr>
              <w:pStyle w:val="Normal0"/>
              <w:spacing w:line="360" w:lineRule="auto"/>
            </w:pPr>
            <w:r>
              <w:t>4500</w:t>
            </w:r>
          </w:p>
        </w:tc>
        <w:tc>
          <w:tcPr>
            <w:tcW w:w="3402" w:type="dxa"/>
          </w:tcPr>
          <w:p w14:paraId="000003C8" w14:textId="77777777" w:rsidR="00663CDF" w:rsidRDefault="00F71B39">
            <w:pPr>
              <w:pStyle w:val="Normal0"/>
              <w:spacing w:line="360" w:lineRule="auto"/>
            </w:pPr>
            <w:r>
              <w:t>30%</w:t>
            </w:r>
          </w:p>
        </w:tc>
      </w:tr>
      <w:tr w:rsidR="00663CDF" w14:paraId="5FF81B5B" w14:textId="77777777">
        <w:tc>
          <w:tcPr>
            <w:tcW w:w="1101" w:type="dxa"/>
          </w:tcPr>
          <w:p w14:paraId="000003C9" w14:textId="77777777" w:rsidR="00663CDF" w:rsidRDefault="00F71B39">
            <w:pPr>
              <w:pStyle w:val="Normal0"/>
              <w:spacing w:line="360" w:lineRule="auto"/>
            </w:pPr>
            <w:r>
              <w:t>2017</w:t>
            </w:r>
          </w:p>
        </w:tc>
        <w:tc>
          <w:tcPr>
            <w:tcW w:w="4252" w:type="dxa"/>
          </w:tcPr>
          <w:p w14:paraId="000003CA" w14:textId="77777777" w:rsidR="00663CDF" w:rsidRDefault="00F71B39">
            <w:pPr>
              <w:pStyle w:val="Normal0"/>
              <w:spacing w:line="360" w:lineRule="auto"/>
            </w:pPr>
            <w:r>
              <w:t>5000</w:t>
            </w:r>
          </w:p>
        </w:tc>
        <w:tc>
          <w:tcPr>
            <w:tcW w:w="3402" w:type="dxa"/>
          </w:tcPr>
          <w:p w14:paraId="000003CB" w14:textId="77777777" w:rsidR="00663CDF" w:rsidRDefault="00F71B39">
            <w:pPr>
              <w:pStyle w:val="Normal0"/>
              <w:spacing w:line="360" w:lineRule="auto"/>
            </w:pPr>
            <w:r>
              <w:t>27%</w:t>
            </w:r>
          </w:p>
        </w:tc>
      </w:tr>
      <w:tr w:rsidR="00663CDF" w14:paraId="02063295" w14:textId="77777777">
        <w:tc>
          <w:tcPr>
            <w:tcW w:w="1101" w:type="dxa"/>
          </w:tcPr>
          <w:p w14:paraId="000003CC" w14:textId="77777777" w:rsidR="00663CDF" w:rsidRDefault="00F71B39">
            <w:pPr>
              <w:pStyle w:val="Normal0"/>
              <w:spacing w:line="360" w:lineRule="auto"/>
            </w:pPr>
            <w:r>
              <w:t>2018</w:t>
            </w:r>
          </w:p>
        </w:tc>
        <w:tc>
          <w:tcPr>
            <w:tcW w:w="4252" w:type="dxa"/>
          </w:tcPr>
          <w:p w14:paraId="000003CD" w14:textId="77777777" w:rsidR="00663CDF" w:rsidRDefault="00F71B39">
            <w:pPr>
              <w:pStyle w:val="Normal0"/>
              <w:spacing w:line="360" w:lineRule="auto"/>
            </w:pPr>
            <w:r>
              <w:t>5500</w:t>
            </w:r>
          </w:p>
        </w:tc>
        <w:tc>
          <w:tcPr>
            <w:tcW w:w="3402" w:type="dxa"/>
          </w:tcPr>
          <w:p w14:paraId="000003CE" w14:textId="77777777" w:rsidR="00663CDF" w:rsidRDefault="00F71B39">
            <w:pPr>
              <w:pStyle w:val="Normal0"/>
              <w:spacing w:line="360" w:lineRule="auto"/>
            </w:pPr>
            <w:r>
              <w:t>29%</w:t>
            </w:r>
          </w:p>
        </w:tc>
      </w:tr>
      <w:tr w:rsidR="00663CDF" w14:paraId="79694789" w14:textId="77777777">
        <w:tc>
          <w:tcPr>
            <w:tcW w:w="1101" w:type="dxa"/>
          </w:tcPr>
          <w:p w14:paraId="000003CF" w14:textId="77777777" w:rsidR="00663CDF" w:rsidRDefault="00F71B39">
            <w:pPr>
              <w:pStyle w:val="Normal0"/>
              <w:spacing w:line="360" w:lineRule="auto"/>
            </w:pPr>
            <w:r>
              <w:t>2019</w:t>
            </w:r>
          </w:p>
        </w:tc>
        <w:tc>
          <w:tcPr>
            <w:tcW w:w="4252" w:type="dxa"/>
          </w:tcPr>
          <w:p w14:paraId="000003D0" w14:textId="77777777" w:rsidR="00663CDF" w:rsidRDefault="00F71B39">
            <w:pPr>
              <w:pStyle w:val="Normal0"/>
              <w:spacing w:line="360" w:lineRule="auto"/>
            </w:pPr>
            <w:r>
              <w:t>6200</w:t>
            </w:r>
          </w:p>
        </w:tc>
        <w:tc>
          <w:tcPr>
            <w:tcW w:w="3402" w:type="dxa"/>
          </w:tcPr>
          <w:p w14:paraId="000003D1" w14:textId="77777777" w:rsidR="00663CDF" w:rsidRDefault="00F71B39">
            <w:pPr>
              <w:pStyle w:val="Normal0"/>
              <w:spacing w:line="360" w:lineRule="auto"/>
            </w:pPr>
            <w:r>
              <w:t>31%</w:t>
            </w:r>
          </w:p>
        </w:tc>
      </w:tr>
      <w:tr w:rsidR="00663CDF" w14:paraId="20BDC76F" w14:textId="77777777">
        <w:tc>
          <w:tcPr>
            <w:tcW w:w="1101" w:type="dxa"/>
          </w:tcPr>
          <w:p w14:paraId="000003D2" w14:textId="77777777" w:rsidR="00663CDF" w:rsidRDefault="00F71B39">
            <w:pPr>
              <w:pStyle w:val="Normal0"/>
              <w:spacing w:line="360" w:lineRule="auto"/>
            </w:pPr>
            <w:r>
              <w:t>2020</w:t>
            </w:r>
          </w:p>
        </w:tc>
        <w:tc>
          <w:tcPr>
            <w:tcW w:w="4252" w:type="dxa"/>
          </w:tcPr>
          <w:p w14:paraId="000003D3" w14:textId="77777777" w:rsidR="00663CDF" w:rsidRDefault="00F71B39">
            <w:pPr>
              <w:pStyle w:val="Normal0"/>
              <w:spacing w:line="360" w:lineRule="auto"/>
            </w:pPr>
            <w:r>
              <w:t>6800</w:t>
            </w:r>
          </w:p>
        </w:tc>
        <w:tc>
          <w:tcPr>
            <w:tcW w:w="3402" w:type="dxa"/>
          </w:tcPr>
          <w:p w14:paraId="000003D4" w14:textId="77777777" w:rsidR="00663CDF" w:rsidRDefault="00F71B39">
            <w:pPr>
              <w:pStyle w:val="Normal0"/>
              <w:spacing w:line="360" w:lineRule="auto"/>
            </w:pPr>
            <w:r>
              <w:t>33%</w:t>
            </w:r>
          </w:p>
        </w:tc>
      </w:tr>
      <w:tr w:rsidR="00663CDF" w14:paraId="74275C97" w14:textId="77777777">
        <w:tc>
          <w:tcPr>
            <w:tcW w:w="1101" w:type="dxa"/>
          </w:tcPr>
          <w:p w14:paraId="000003D5" w14:textId="77777777" w:rsidR="00663CDF" w:rsidRDefault="00F71B39">
            <w:pPr>
              <w:pStyle w:val="Normal0"/>
              <w:spacing w:line="360" w:lineRule="auto"/>
            </w:pPr>
            <w:r>
              <w:lastRenderedPageBreak/>
              <w:t>2021</w:t>
            </w:r>
          </w:p>
        </w:tc>
        <w:tc>
          <w:tcPr>
            <w:tcW w:w="4252" w:type="dxa"/>
          </w:tcPr>
          <w:p w14:paraId="000003D6" w14:textId="77777777" w:rsidR="00663CDF" w:rsidRDefault="00F71B39">
            <w:pPr>
              <w:pStyle w:val="Normal0"/>
              <w:spacing w:line="360" w:lineRule="auto"/>
            </w:pPr>
            <w:r>
              <w:t>7300</w:t>
            </w:r>
          </w:p>
        </w:tc>
        <w:tc>
          <w:tcPr>
            <w:tcW w:w="3402" w:type="dxa"/>
          </w:tcPr>
          <w:p w14:paraId="000003D7" w14:textId="77777777" w:rsidR="00663CDF" w:rsidRDefault="00F71B39">
            <w:pPr>
              <w:pStyle w:val="Normal0"/>
              <w:spacing w:line="360" w:lineRule="auto"/>
            </w:pPr>
            <w:r>
              <w:t>29%</w:t>
            </w:r>
          </w:p>
        </w:tc>
      </w:tr>
      <w:tr w:rsidR="00663CDF" w14:paraId="41C989D2" w14:textId="77777777">
        <w:tc>
          <w:tcPr>
            <w:tcW w:w="1101" w:type="dxa"/>
          </w:tcPr>
          <w:p w14:paraId="000003D8" w14:textId="77777777" w:rsidR="00663CDF" w:rsidRDefault="00F71B39">
            <w:pPr>
              <w:pStyle w:val="Normal0"/>
              <w:spacing w:line="360" w:lineRule="auto"/>
            </w:pPr>
            <w:r>
              <w:t>2022</w:t>
            </w:r>
          </w:p>
        </w:tc>
        <w:tc>
          <w:tcPr>
            <w:tcW w:w="4252" w:type="dxa"/>
          </w:tcPr>
          <w:p w14:paraId="000003D9" w14:textId="77777777" w:rsidR="00663CDF" w:rsidRDefault="00F71B39">
            <w:pPr>
              <w:pStyle w:val="Normal0"/>
              <w:spacing w:line="360" w:lineRule="auto"/>
            </w:pPr>
            <w:r>
              <w:t>8000</w:t>
            </w:r>
          </w:p>
        </w:tc>
        <w:tc>
          <w:tcPr>
            <w:tcW w:w="3402" w:type="dxa"/>
          </w:tcPr>
          <w:p w14:paraId="000003DA" w14:textId="77777777" w:rsidR="00663CDF" w:rsidRDefault="00F71B39">
            <w:pPr>
              <w:pStyle w:val="Normal0"/>
              <w:spacing w:line="360" w:lineRule="auto"/>
            </w:pPr>
            <w:r>
              <w:t>31%</w:t>
            </w:r>
          </w:p>
        </w:tc>
      </w:tr>
      <w:tr w:rsidR="00663CDF" w14:paraId="157D9875" w14:textId="77777777">
        <w:tc>
          <w:tcPr>
            <w:tcW w:w="1101" w:type="dxa"/>
          </w:tcPr>
          <w:p w14:paraId="000003DB" w14:textId="77777777" w:rsidR="00663CDF" w:rsidRDefault="00F71B39">
            <w:pPr>
              <w:pStyle w:val="Normal0"/>
              <w:spacing w:line="360" w:lineRule="auto"/>
            </w:pPr>
            <w:r>
              <w:t>2023</w:t>
            </w:r>
          </w:p>
        </w:tc>
        <w:tc>
          <w:tcPr>
            <w:tcW w:w="4252" w:type="dxa"/>
          </w:tcPr>
          <w:p w14:paraId="000003DC" w14:textId="77777777" w:rsidR="00663CDF" w:rsidRDefault="00F71B39">
            <w:pPr>
              <w:pStyle w:val="Normal0"/>
              <w:spacing w:line="360" w:lineRule="auto"/>
            </w:pPr>
            <w:r>
              <w:t>8500</w:t>
            </w:r>
          </w:p>
        </w:tc>
        <w:tc>
          <w:tcPr>
            <w:tcW w:w="3402" w:type="dxa"/>
          </w:tcPr>
          <w:p w14:paraId="000003DD" w14:textId="77777777" w:rsidR="00663CDF" w:rsidRDefault="00F71B39">
            <w:pPr>
              <w:pStyle w:val="Normal0"/>
              <w:spacing w:line="360" w:lineRule="auto"/>
            </w:pPr>
            <w:r>
              <w:t>32%</w:t>
            </w:r>
          </w:p>
        </w:tc>
      </w:tr>
    </w:tbl>
    <w:p w14:paraId="000003DE" w14:textId="77777777" w:rsidR="00663CDF" w:rsidRDefault="00F71B39">
      <w:pPr>
        <w:pStyle w:val="Normal0"/>
        <w:spacing w:line="360" w:lineRule="auto"/>
        <w:rPr>
          <w:b/>
        </w:rPr>
      </w:pPr>
      <w:r>
        <w:rPr>
          <w:b/>
        </w:rPr>
        <w:t>Fuente: Informes de gestión del municipio de Turbaco (2016-2023). Elaboración propia.</w:t>
      </w:r>
    </w:p>
    <w:p w14:paraId="000003DF" w14:textId="77777777" w:rsidR="00663CDF" w:rsidRDefault="00F71B39">
      <w:pPr>
        <w:pStyle w:val="Normal0"/>
        <w:spacing w:line="360" w:lineRule="auto"/>
        <w:ind w:firstLine="708"/>
      </w:pPr>
      <w:r>
        <w:t>En tanto al acceso a una vivienda digna y a servicios básicos es esencial para garantizar el bienestar de la población, en el periodo 2016-2023, Turbaco destinó una parte significativa de los ICLD a programas de vivienda social y a la mejora de los servicios públicos en zonas vulnerables, implementando varios programas de vivienda social que han permitido reducir el déficit habitacional en el municipio. Estos programas han sido particularmente efectivos en las zonas rurales y en los barrios más desfavorecidos, donde el acceso a una vivienda adecuada ha sido históricamente limitado.</w:t>
      </w:r>
    </w:p>
    <w:p w14:paraId="000003E0" w14:textId="77777777" w:rsidR="00663CDF" w:rsidRDefault="00F71B39">
      <w:pPr>
        <w:pStyle w:val="Normal0"/>
        <w:spacing w:line="360" w:lineRule="auto"/>
        <w:ind w:firstLine="708"/>
      </w:pPr>
      <w:r>
        <w:t>La inversión en infraestructura de servicios públicos, como agua potable y saneamiento, ha sido crucial para mejorar la calidad de vida en las comunidades rurales y urbanas de Turbaco.</w:t>
      </w:r>
    </w:p>
    <w:p w14:paraId="000003E1" w14:textId="77777777" w:rsidR="00663CDF" w:rsidRDefault="00663CDF">
      <w:pPr>
        <w:pStyle w:val="Normal0"/>
        <w:spacing w:line="360" w:lineRule="auto"/>
        <w:ind w:firstLine="708"/>
      </w:pPr>
    </w:p>
    <w:p w14:paraId="000003E2" w14:textId="77777777" w:rsidR="00663CDF" w:rsidRDefault="00F71B39">
      <w:pPr>
        <w:pStyle w:val="Normal0"/>
        <w:pBdr>
          <w:top w:val="nil"/>
          <w:left w:val="nil"/>
          <w:bottom w:val="nil"/>
          <w:right w:val="nil"/>
          <w:between w:val="nil"/>
        </w:pBdr>
        <w:spacing w:after="160" w:line="360" w:lineRule="auto"/>
        <w:rPr>
          <w:b/>
          <w:color w:val="000000"/>
        </w:rPr>
      </w:pPr>
      <w:bookmarkStart w:id="53" w:name="_heading=h.tsu7t87z4kho" w:colFirst="0" w:colLast="0"/>
      <w:bookmarkEnd w:id="53"/>
      <w:r>
        <w:rPr>
          <w:b/>
          <w:color w:val="000000"/>
        </w:rPr>
        <w:t>Tabla 10. Evolución de la Inversión en Vivienda y Servicios Públicos (2016-2023)</w:t>
      </w:r>
    </w:p>
    <w:tbl>
      <w:tblPr>
        <w:tblStyle w:val="a9"/>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51"/>
        <w:gridCol w:w="3561"/>
        <w:gridCol w:w="4516"/>
      </w:tblGrid>
      <w:tr w:rsidR="00663CDF" w14:paraId="7B60C929" w14:textId="77777777">
        <w:tc>
          <w:tcPr>
            <w:tcW w:w="751" w:type="dxa"/>
            <w:vAlign w:val="center"/>
          </w:tcPr>
          <w:p w14:paraId="000003E3" w14:textId="77777777" w:rsidR="00663CDF" w:rsidRDefault="00F71B39">
            <w:pPr>
              <w:pStyle w:val="Normal0"/>
              <w:spacing w:line="360" w:lineRule="auto"/>
              <w:rPr>
                <w:b/>
              </w:rPr>
            </w:pPr>
            <w:r>
              <w:rPr>
                <w:b/>
              </w:rPr>
              <w:t>AÑO</w:t>
            </w:r>
          </w:p>
        </w:tc>
        <w:tc>
          <w:tcPr>
            <w:tcW w:w="3561" w:type="dxa"/>
            <w:vAlign w:val="center"/>
          </w:tcPr>
          <w:p w14:paraId="000003E4" w14:textId="77777777" w:rsidR="00663CDF" w:rsidRDefault="00F71B39">
            <w:pPr>
              <w:pStyle w:val="Normal0"/>
              <w:spacing w:line="360" w:lineRule="auto"/>
              <w:rPr>
                <w:b/>
              </w:rPr>
            </w:pPr>
            <w:r>
              <w:rPr>
                <w:b/>
              </w:rPr>
              <w:t>Inversión en Vivienda (millones de COP)</w:t>
            </w:r>
          </w:p>
        </w:tc>
        <w:tc>
          <w:tcPr>
            <w:tcW w:w="4516" w:type="dxa"/>
            <w:vAlign w:val="center"/>
          </w:tcPr>
          <w:p w14:paraId="000003E5" w14:textId="77777777" w:rsidR="00663CDF" w:rsidRDefault="00F71B39">
            <w:pPr>
              <w:pStyle w:val="Normal0"/>
              <w:spacing w:line="360" w:lineRule="auto"/>
              <w:rPr>
                <w:b/>
              </w:rPr>
            </w:pPr>
            <w:r>
              <w:rPr>
                <w:b/>
              </w:rPr>
              <w:t>% de ICLD destinado a Vivienda y Servicios Públicos</w:t>
            </w:r>
          </w:p>
        </w:tc>
      </w:tr>
      <w:tr w:rsidR="00663CDF" w14:paraId="6F63BC08" w14:textId="77777777">
        <w:tc>
          <w:tcPr>
            <w:tcW w:w="751" w:type="dxa"/>
            <w:vAlign w:val="center"/>
          </w:tcPr>
          <w:p w14:paraId="000003E6" w14:textId="77777777" w:rsidR="00663CDF" w:rsidRDefault="00F71B39">
            <w:pPr>
              <w:pStyle w:val="Normal0"/>
              <w:spacing w:line="360" w:lineRule="auto"/>
            </w:pPr>
            <w:r>
              <w:t>2016</w:t>
            </w:r>
          </w:p>
        </w:tc>
        <w:tc>
          <w:tcPr>
            <w:tcW w:w="3561" w:type="dxa"/>
            <w:vAlign w:val="center"/>
          </w:tcPr>
          <w:p w14:paraId="000003E7" w14:textId="77777777" w:rsidR="00663CDF" w:rsidRDefault="00F71B39">
            <w:pPr>
              <w:pStyle w:val="Normal0"/>
              <w:spacing w:line="360" w:lineRule="auto"/>
            </w:pPr>
            <w:r>
              <w:t>3500</w:t>
            </w:r>
          </w:p>
        </w:tc>
        <w:tc>
          <w:tcPr>
            <w:tcW w:w="4516" w:type="dxa"/>
            <w:vAlign w:val="center"/>
          </w:tcPr>
          <w:p w14:paraId="000003E8" w14:textId="77777777" w:rsidR="00663CDF" w:rsidRDefault="00F71B39">
            <w:pPr>
              <w:pStyle w:val="Normal0"/>
              <w:spacing w:line="360" w:lineRule="auto"/>
            </w:pPr>
            <w:r>
              <w:t>20%</w:t>
            </w:r>
          </w:p>
        </w:tc>
      </w:tr>
      <w:tr w:rsidR="00663CDF" w14:paraId="7FCC6089" w14:textId="77777777">
        <w:tc>
          <w:tcPr>
            <w:tcW w:w="751" w:type="dxa"/>
            <w:vAlign w:val="center"/>
          </w:tcPr>
          <w:p w14:paraId="000003E9" w14:textId="77777777" w:rsidR="00663CDF" w:rsidRDefault="00F71B39">
            <w:pPr>
              <w:pStyle w:val="Normal0"/>
              <w:spacing w:line="360" w:lineRule="auto"/>
            </w:pPr>
            <w:r>
              <w:t>2017</w:t>
            </w:r>
          </w:p>
        </w:tc>
        <w:tc>
          <w:tcPr>
            <w:tcW w:w="3561" w:type="dxa"/>
            <w:vAlign w:val="center"/>
          </w:tcPr>
          <w:p w14:paraId="000003EA" w14:textId="77777777" w:rsidR="00663CDF" w:rsidRDefault="00F71B39">
            <w:pPr>
              <w:pStyle w:val="Normal0"/>
              <w:spacing w:line="360" w:lineRule="auto"/>
            </w:pPr>
            <w:r>
              <w:t>3800</w:t>
            </w:r>
          </w:p>
        </w:tc>
        <w:tc>
          <w:tcPr>
            <w:tcW w:w="4516" w:type="dxa"/>
            <w:vAlign w:val="center"/>
          </w:tcPr>
          <w:p w14:paraId="000003EB" w14:textId="77777777" w:rsidR="00663CDF" w:rsidRDefault="00F71B39">
            <w:pPr>
              <w:pStyle w:val="Normal0"/>
              <w:spacing w:line="360" w:lineRule="auto"/>
            </w:pPr>
            <w:r>
              <w:t>20%</w:t>
            </w:r>
          </w:p>
        </w:tc>
      </w:tr>
      <w:tr w:rsidR="00663CDF" w14:paraId="675D40FD" w14:textId="77777777">
        <w:tc>
          <w:tcPr>
            <w:tcW w:w="751" w:type="dxa"/>
            <w:vAlign w:val="center"/>
          </w:tcPr>
          <w:p w14:paraId="000003EC" w14:textId="77777777" w:rsidR="00663CDF" w:rsidRDefault="00F71B39">
            <w:pPr>
              <w:pStyle w:val="Normal0"/>
              <w:spacing w:line="360" w:lineRule="auto"/>
            </w:pPr>
            <w:r>
              <w:t>2018</w:t>
            </w:r>
          </w:p>
        </w:tc>
        <w:tc>
          <w:tcPr>
            <w:tcW w:w="3561" w:type="dxa"/>
            <w:vAlign w:val="center"/>
          </w:tcPr>
          <w:p w14:paraId="000003ED" w14:textId="77777777" w:rsidR="00663CDF" w:rsidRDefault="00F71B39">
            <w:pPr>
              <w:pStyle w:val="Normal0"/>
              <w:spacing w:line="360" w:lineRule="auto"/>
            </w:pPr>
            <w:r>
              <w:t>4200</w:t>
            </w:r>
          </w:p>
        </w:tc>
        <w:tc>
          <w:tcPr>
            <w:tcW w:w="4516" w:type="dxa"/>
            <w:vAlign w:val="center"/>
          </w:tcPr>
          <w:p w14:paraId="000003EE" w14:textId="77777777" w:rsidR="00663CDF" w:rsidRDefault="00F71B39">
            <w:pPr>
              <w:pStyle w:val="Normal0"/>
              <w:spacing w:line="360" w:lineRule="auto"/>
            </w:pPr>
            <w:r>
              <w:t>22%</w:t>
            </w:r>
          </w:p>
        </w:tc>
      </w:tr>
      <w:tr w:rsidR="00663CDF" w14:paraId="7D09C579" w14:textId="77777777">
        <w:tc>
          <w:tcPr>
            <w:tcW w:w="751" w:type="dxa"/>
            <w:vAlign w:val="center"/>
          </w:tcPr>
          <w:p w14:paraId="000003EF" w14:textId="77777777" w:rsidR="00663CDF" w:rsidRDefault="00F71B39">
            <w:pPr>
              <w:pStyle w:val="Normal0"/>
              <w:spacing w:line="360" w:lineRule="auto"/>
            </w:pPr>
            <w:r>
              <w:t>2019</w:t>
            </w:r>
          </w:p>
        </w:tc>
        <w:tc>
          <w:tcPr>
            <w:tcW w:w="3561" w:type="dxa"/>
            <w:vAlign w:val="center"/>
          </w:tcPr>
          <w:p w14:paraId="000003F0" w14:textId="77777777" w:rsidR="00663CDF" w:rsidRDefault="00F71B39">
            <w:pPr>
              <w:pStyle w:val="Normal0"/>
              <w:spacing w:line="360" w:lineRule="auto"/>
            </w:pPr>
            <w:r>
              <w:t>4800</w:t>
            </w:r>
          </w:p>
        </w:tc>
        <w:tc>
          <w:tcPr>
            <w:tcW w:w="4516" w:type="dxa"/>
            <w:vAlign w:val="center"/>
          </w:tcPr>
          <w:p w14:paraId="000003F1" w14:textId="77777777" w:rsidR="00663CDF" w:rsidRDefault="00F71B39">
            <w:pPr>
              <w:pStyle w:val="Normal0"/>
              <w:spacing w:line="360" w:lineRule="auto"/>
            </w:pPr>
            <w:r>
              <w:t>24%</w:t>
            </w:r>
          </w:p>
        </w:tc>
      </w:tr>
      <w:tr w:rsidR="00663CDF" w14:paraId="06259BD8" w14:textId="77777777">
        <w:tc>
          <w:tcPr>
            <w:tcW w:w="751" w:type="dxa"/>
            <w:vAlign w:val="center"/>
          </w:tcPr>
          <w:p w14:paraId="000003F2" w14:textId="77777777" w:rsidR="00663CDF" w:rsidRDefault="00F71B39">
            <w:pPr>
              <w:pStyle w:val="Normal0"/>
              <w:spacing w:line="360" w:lineRule="auto"/>
            </w:pPr>
            <w:r>
              <w:t>2020</w:t>
            </w:r>
          </w:p>
        </w:tc>
        <w:tc>
          <w:tcPr>
            <w:tcW w:w="3561" w:type="dxa"/>
            <w:vAlign w:val="center"/>
          </w:tcPr>
          <w:p w14:paraId="000003F3" w14:textId="77777777" w:rsidR="00663CDF" w:rsidRDefault="00F71B39">
            <w:pPr>
              <w:pStyle w:val="Normal0"/>
              <w:spacing w:line="360" w:lineRule="auto"/>
            </w:pPr>
            <w:r>
              <w:t>5200</w:t>
            </w:r>
          </w:p>
        </w:tc>
        <w:tc>
          <w:tcPr>
            <w:tcW w:w="4516" w:type="dxa"/>
            <w:vAlign w:val="center"/>
          </w:tcPr>
          <w:p w14:paraId="000003F4" w14:textId="77777777" w:rsidR="00663CDF" w:rsidRDefault="00F71B39">
            <w:pPr>
              <w:pStyle w:val="Normal0"/>
              <w:spacing w:line="360" w:lineRule="auto"/>
            </w:pPr>
            <w:r>
              <w:t>26%</w:t>
            </w:r>
          </w:p>
        </w:tc>
      </w:tr>
      <w:tr w:rsidR="00663CDF" w14:paraId="60059422" w14:textId="77777777">
        <w:tc>
          <w:tcPr>
            <w:tcW w:w="751" w:type="dxa"/>
            <w:vAlign w:val="center"/>
          </w:tcPr>
          <w:p w14:paraId="000003F5" w14:textId="77777777" w:rsidR="00663CDF" w:rsidRDefault="00F71B39">
            <w:pPr>
              <w:pStyle w:val="Normal0"/>
              <w:spacing w:line="360" w:lineRule="auto"/>
            </w:pPr>
            <w:r>
              <w:t>2021</w:t>
            </w:r>
          </w:p>
        </w:tc>
        <w:tc>
          <w:tcPr>
            <w:tcW w:w="3561" w:type="dxa"/>
            <w:vAlign w:val="center"/>
          </w:tcPr>
          <w:p w14:paraId="000003F6" w14:textId="77777777" w:rsidR="00663CDF" w:rsidRDefault="00F71B39">
            <w:pPr>
              <w:pStyle w:val="Normal0"/>
              <w:spacing w:line="360" w:lineRule="auto"/>
            </w:pPr>
            <w:r>
              <w:t>5700</w:t>
            </w:r>
          </w:p>
        </w:tc>
        <w:tc>
          <w:tcPr>
            <w:tcW w:w="4516" w:type="dxa"/>
            <w:vAlign w:val="center"/>
          </w:tcPr>
          <w:p w14:paraId="000003F7" w14:textId="77777777" w:rsidR="00663CDF" w:rsidRDefault="00F71B39">
            <w:pPr>
              <w:pStyle w:val="Normal0"/>
              <w:spacing w:line="360" w:lineRule="auto"/>
            </w:pPr>
            <w:r>
              <w:t>23%</w:t>
            </w:r>
          </w:p>
        </w:tc>
      </w:tr>
      <w:tr w:rsidR="00663CDF" w14:paraId="5D9CDFE6" w14:textId="77777777">
        <w:tc>
          <w:tcPr>
            <w:tcW w:w="751" w:type="dxa"/>
            <w:vAlign w:val="center"/>
          </w:tcPr>
          <w:p w14:paraId="000003F8" w14:textId="77777777" w:rsidR="00663CDF" w:rsidRDefault="00F71B39">
            <w:pPr>
              <w:pStyle w:val="Normal0"/>
              <w:spacing w:line="360" w:lineRule="auto"/>
            </w:pPr>
            <w:r>
              <w:t>2022</w:t>
            </w:r>
          </w:p>
        </w:tc>
        <w:tc>
          <w:tcPr>
            <w:tcW w:w="3561" w:type="dxa"/>
            <w:vAlign w:val="center"/>
          </w:tcPr>
          <w:p w14:paraId="000003F9" w14:textId="77777777" w:rsidR="00663CDF" w:rsidRDefault="00F71B39">
            <w:pPr>
              <w:pStyle w:val="Normal0"/>
              <w:spacing w:line="360" w:lineRule="auto"/>
            </w:pPr>
            <w:r>
              <w:t>6200</w:t>
            </w:r>
          </w:p>
        </w:tc>
        <w:tc>
          <w:tcPr>
            <w:tcW w:w="4516" w:type="dxa"/>
            <w:vAlign w:val="center"/>
          </w:tcPr>
          <w:p w14:paraId="000003FA" w14:textId="77777777" w:rsidR="00663CDF" w:rsidRDefault="00F71B39">
            <w:pPr>
              <w:pStyle w:val="Normal0"/>
              <w:spacing w:line="360" w:lineRule="auto"/>
            </w:pPr>
            <w:r>
              <w:t>24%</w:t>
            </w:r>
          </w:p>
        </w:tc>
      </w:tr>
      <w:tr w:rsidR="00663CDF" w14:paraId="61A1785B" w14:textId="77777777">
        <w:tc>
          <w:tcPr>
            <w:tcW w:w="751" w:type="dxa"/>
            <w:vAlign w:val="center"/>
          </w:tcPr>
          <w:p w14:paraId="000003FB" w14:textId="77777777" w:rsidR="00663CDF" w:rsidRDefault="00F71B39">
            <w:pPr>
              <w:pStyle w:val="Normal0"/>
              <w:spacing w:line="360" w:lineRule="auto"/>
            </w:pPr>
            <w:r>
              <w:t>2023</w:t>
            </w:r>
          </w:p>
        </w:tc>
        <w:tc>
          <w:tcPr>
            <w:tcW w:w="3561" w:type="dxa"/>
            <w:vAlign w:val="center"/>
          </w:tcPr>
          <w:p w14:paraId="000003FC" w14:textId="77777777" w:rsidR="00663CDF" w:rsidRDefault="00F71B39">
            <w:pPr>
              <w:pStyle w:val="Normal0"/>
              <w:spacing w:line="360" w:lineRule="auto"/>
            </w:pPr>
            <w:r>
              <w:t>6800</w:t>
            </w:r>
          </w:p>
        </w:tc>
        <w:tc>
          <w:tcPr>
            <w:tcW w:w="4516" w:type="dxa"/>
            <w:vAlign w:val="center"/>
          </w:tcPr>
          <w:p w14:paraId="000003FD" w14:textId="77777777" w:rsidR="00663CDF" w:rsidRDefault="00F71B39">
            <w:pPr>
              <w:pStyle w:val="Normal0"/>
              <w:spacing w:line="360" w:lineRule="auto"/>
            </w:pPr>
            <w:r>
              <w:t>26%</w:t>
            </w:r>
          </w:p>
        </w:tc>
      </w:tr>
    </w:tbl>
    <w:p w14:paraId="000003FE" w14:textId="77777777" w:rsidR="00663CDF" w:rsidRDefault="00F71B39">
      <w:pPr>
        <w:pStyle w:val="Normal0"/>
        <w:spacing w:line="360" w:lineRule="auto"/>
        <w:rPr>
          <w:b/>
        </w:rPr>
      </w:pPr>
      <w:r>
        <w:rPr>
          <w:b/>
        </w:rPr>
        <w:lastRenderedPageBreak/>
        <w:t xml:space="preserve">Fuente: Informes de gestión del municipio de Turbaco (2016-2023). Elaboración propia. </w:t>
      </w:r>
    </w:p>
    <w:p w14:paraId="000003FF" w14:textId="77777777" w:rsidR="00663CDF" w:rsidRDefault="00663CDF">
      <w:pPr>
        <w:pStyle w:val="Normal0"/>
        <w:spacing w:line="360" w:lineRule="auto"/>
        <w:rPr>
          <w:b/>
        </w:rPr>
      </w:pPr>
    </w:p>
    <w:p w14:paraId="00000400" w14:textId="77777777" w:rsidR="00663CDF" w:rsidRDefault="00F71B39">
      <w:pPr>
        <w:pStyle w:val="Ttulo3"/>
        <w:spacing w:line="360" w:lineRule="auto"/>
      </w:pPr>
      <w:bookmarkStart w:id="54" w:name="_heading=h.irx9hfqjqfo9" w:colFirst="0" w:colLast="0"/>
      <w:bookmarkEnd w:id="54"/>
      <w:r>
        <w:t>4.11. Análisis del índice de necesidades básicas satisfechas (NBS) e insatisfechas (NBI).</w:t>
      </w:r>
    </w:p>
    <w:p w14:paraId="00000401" w14:textId="77777777" w:rsidR="00663CDF" w:rsidRDefault="00F71B39">
      <w:pPr>
        <w:pStyle w:val="Normal0"/>
        <w:spacing w:line="360" w:lineRule="auto"/>
        <w:ind w:firstLine="708"/>
      </w:pPr>
      <w:r>
        <w:t>El Índice de Necesidades Básicas Satisfechas (NBS) y el Índice de Necesidades Básicas Insatisfechas (NBI) son indicadores fundamentales para evaluar la calidad de vida de los habitantes de Turbaco, estos índices miden el porcentaje de la población que tiene cubiertas o no sus necesidades básicas en áreas como vivienda, educación, servicios públicos, y acceso a servicios de salud.</w:t>
      </w:r>
    </w:p>
    <w:p w14:paraId="00000402" w14:textId="77777777" w:rsidR="00663CDF" w:rsidRDefault="00F71B39">
      <w:pPr>
        <w:pStyle w:val="Normal0"/>
        <w:spacing w:line="360" w:lineRule="auto"/>
      </w:pPr>
      <w:r>
        <w:t xml:space="preserve">El NBS en Turbaco ha mostrado una tendencia de mejora durante el periodo 2016-2023, lo que indica un avance en la cobertura de necesidades básicas para la población del municipio, sin embargo, persisten brechas significativas entre las zonas urbanas y rurales, lo que subraya la necesidad de continuar enfocando las políticas públicas en las áreas más vulnerables. En 2016, el NBS en Turbaco se situaba en un 79.5%, lo que significaba que aproximadamente el 20.5% de la población tenía alguna necesidad básica insatisfecha. Para 2023, este índice mejoró a un 85%, reflejando los avances en la provisión de servicios públicos y programas sociales. </w:t>
      </w:r>
    </w:p>
    <w:p w14:paraId="00000403" w14:textId="77777777" w:rsidR="00663CDF" w:rsidRDefault="00F71B39">
      <w:pPr>
        <w:pStyle w:val="Normal0"/>
        <w:spacing w:line="360" w:lineRule="auto"/>
        <w:ind w:firstLine="708"/>
      </w:pPr>
      <w:r>
        <w:t>Si bien el NBS ha mejorado a nivel general, las zonas rurales siguen presentando mayores niveles de NBI, en el 2023 fue del 75%, comparado con el 90% en las zonas urbanas, lo que indica que las políticas de desarrollo deben continuar enfocándose en cerrar estas brechas.</w:t>
      </w:r>
    </w:p>
    <w:p w14:paraId="00000404" w14:textId="77777777" w:rsidR="00663CDF" w:rsidRDefault="00F71B39">
      <w:pPr>
        <w:pStyle w:val="Normal0"/>
        <w:pBdr>
          <w:top w:val="nil"/>
          <w:left w:val="nil"/>
          <w:bottom w:val="nil"/>
          <w:right w:val="nil"/>
          <w:between w:val="nil"/>
        </w:pBdr>
        <w:spacing w:after="160" w:line="360" w:lineRule="auto"/>
        <w:rPr>
          <w:b/>
          <w:color w:val="000000"/>
        </w:rPr>
      </w:pPr>
      <w:bookmarkStart w:id="55" w:name="_heading=h.dg2m0wrrksp8" w:colFirst="0" w:colLast="0"/>
      <w:bookmarkEnd w:id="55"/>
      <w:r>
        <w:rPr>
          <w:b/>
          <w:color w:val="000000"/>
        </w:rPr>
        <w:t>Tabla 11. Evolución del NBS y NBI en Turbaco (2016-2023).</w:t>
      </w:r>
    </w:p>
    <w:tbl>
      <w:tblPr>
        <w:tblStyle w:val="aa"/>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961"/>
        <w:gridCol w:w="1488"/>
        <w:gridCol w:w="1370"/>
        <w:gridCol w:w="2650"/>
        <w:gridCol w:w="2359"/>
      </w:tblGrid>
      <w:tr w:rsidR="00663CDF" w14:paraId="34DAF985" w14:textId="77777777">
        <w:tc>
          <w:tcPr>
            <w:tcW w:w="961" w:type="dxa"/>
          </w:tcPr>
          <w:p w14:paraId="00000405" w14:textId="77777777" w:rsidR="00663CDF" w:rsidRDefault="00F71B39">
            <w:pPr>
              <w:pStyle w:val="Normal0"/>
              <w:rPr>
                <w:b/>
              </w:rPr>
            </w:pPr>
            <w:r>
              <w:rPr>
                <w:b/>
              </w:rPr>
              <w:t>AÑO</w:t>
            </w:r>
          </w:p>
        </w:tc>
        <w:tc>
          <w:tcPr>
            <w:tcW w:w="1488" w:type="dxa"/>
          </w:tcPr>
          <w:p w14:paraId="00000406" w14:textId="77777777" w:rsidR="00663CDF" w:rsidRDefault="00F71B39">
            <w:pPr>
              <w:pStyle w:val="Normal0"/>
              <w:rPr>
                <w:b/>
              </w:rPr>
            </w:pPr>
            <w:r>
              <w:rPr>
                <w:b/>
              </w:rPr>
              <w:t>NBS (%)</w:t>
            </w:r>
          </w:p>
        </w:tc>
        <w:tc>
          <w:tcPr>
            <w:tcW w:w="1370" w:type="dxa"/>
          </w:tcPr>
          <w:p w14:paraId="00000407" w14:textId="77777777" w:rsidR="00663CDF" w:rsidRDefault="00F71B39">
            <w:pPr>
              <w:pStyle w:val="Normal0"/>
              <w:rPr>
                <w:b/>
              </w:rPr>
            </w:pPr>
            <w:r>
              <w:rPr>
                <w:b/>
              </w:rPr>
              <w:t>NBI (%)</w:t>
            </w:r>
          </w:p>
        </w:tc>
        <w:tc>
          <w:tcPr>
            <w:tcW w:w="2650" w:type="dxa"/>
          </w:tcPr>
          <w:p w14:paraId="00000408" w14:textId="77777777" w:rsidR="00663CDF" w:rsidRDefault="00F71B39">
            <w:pPr>
              <w:pStyle w:val="Normal0"/>
              <w:rPr>
                <w:b/>
              </w:rPr>
            </w:pPr>
            <w:r>
              <w:rPr>
                <w:b/>
              </w:rPr>
              <w:t>NBS Urbano (%)</w:t>
            </w:r>
          </w:p>
        </w:tc>
        <w:tc>
          <w:tcPr>
            <w:tcW w:w="2359" w:type="dxa"/>
          </w:tcPr>
          <w:p w14:paraId="00000409" w14:textId="77777777" w:rsidR="00663CDF" w:rsidRDefault="00F71B39">
            <w:pPr>
              <w:pStyle w:val="Normal0"/>
              <w:rPr>
                <w:b/>
              </w:rPr>
            </w:pPr>
            <w:r>
              <w:rPr>
                <w:b/>
              </w:rPr>
              <w:t>NBS Rural (%)</w:t>
            </w:r>
          </w:p>
        </w:tc>
      </w:tr>
      <w:tr w:rsidR="00663CDF" w14:paraId="6580A749" w14:textId="77777777">
        <w:tc>
          <w:tcPr>
            <w:tcW w:w="961" w:type="dxa"/>
          </w:tcPr>
          <w:p w14:paraId="0000040A" w14:textId="77777777" w:rsidR="00663CDF" w:rsidRDefault="00F71B39">
            <w:pPr>
              <w:pStyle w:val="Normal0"/>
            </w:pPr>
            <w:r>
              <w:t>2016</w:t>
            </w:r>
          </w:p>
        </w:tc>
        <w:tc>
          <w:tcPr>
            <w:tcW w:w="1488" w:type="dxa"/>
          </w:tcPr>
          <w:p w14:paraId="0000040B" w14:textId="77777777" w:rsidR="00663CDF" w:rsidRDefault="00F71B39">
            <w:pPr>
              <w:pStyle w:val="Normal0"/>
            </w:pPr>
            <w:r>
              <w:t>79,5</w:t>
            </w:r>
          </w:p>
        </w:tc>
        <w:tc>
          <w:tcPr>
            <w:tcW w:w="1370" w:type="dxa"/>
          </w:tcPr>
          <w:p w14:paraId="0000040C" w14:textId="77777777" w:rsidR="00663CDF" w:rsidRDefault="00F71B39">
            <w:pPr>
              <w:pStyle w:val="Normal0"/>
            </w:pPr>
            <w:r>
              <w:t>20,5</w:t>
            </w:r>
          </w:p>
        </w:tc>
        <w:tc>
          <w:tcPr>
            <w:tcW w:w="2650" w:type="dxa"/>
          </w:tcPr>
          <w:p w14:paraId="0000040D" w14:textId="77777777" w:rsidR="00663CDF" w:rsidRDefault="00F71B39">
            <w:pPr>
              <w:pStyle w:val="Normal0"/>
            </w:pPr>
            <w:r>
              <w:t>85</w:t>
            </w:r>
          </w:p>
        </w:tc>
        <w:tc>
          <w:tcPr>
            <w:tcW w:w="2359" w:type="dxa"/>
          </w:tcPr>
          <w:p w14:paraId="0000040E" w14:textId="77777777" w:rsidR="00663CDF" w:rsidRDefault="00F71B39">
            <w:pPr>
              <w:pStyle w:val="Normal0"/>
            </w:pPr>
            <w:r>
              <w:t>70</w:t>
            </w:r>
          </w:p>
        </w:tc>
      </w:tr>
      <w:tr w:rsidR="00663CDF" w14:paraId="72574E53" w14:textId="77777777">
        <w:tc>
          <w:tcPr>
            <w:tcW w:w="961" w:type="dxa"/>
          </w:tcPr>
          <w:p w14:paraId="0000040F" w14:textId="77777777" w:rsidR="00663CDF" w:rsidRDefault="00F71B39">
            <w:pPr>
              <w:pStyle w:val="Normal0"/>
            </w:pPr>
            <w:r>
              <w:t>2017</w:t>
            </w:r>
          </w:p>
        </w:tc>
        <w:tc>
          <w:tcPr>
            <w:tcW w:w="1488" w:type="dxa"/>
          </w:tcPr>
          <w:p w14:paraId="00000410" w14:textId="77777777" w:rsidR="00663CDF" w:rsidRDefault="00F71B39">
            <w:pPr>
              <w:pStyle w:val="Normal0"/>
            </w:pPr>
            <w:r>
              <w:t>80,5</w:t>
            </w:r>
          </w:p>
        </w:tc>
        <w:tc>
          <w:tcPr>
            <w:tcW w:w="1370" w:type="dxa"/>
          </w:tcPr>
          <w:p w14:paraId="00000411" w14:textId="77777777" w:rsidR="00663CDF" w:rsidRDefault="00F71B39">
            <w:pPr>
              <w:pStyle w:val="Normal0"/>
            </w:pPr>
            <w:r>
              <w:t>19,5</w:t>
            </w:r>
          </w:p>
        </w:tc>
        <w:tc>
          <w:tcPr>
            <w:tcW w:w="2650" w:type="dxa"/>
          </w:tcPr>
          <w:p w14:paraId="00000412" w14:textId="77777777" w:rsidR="00663CDF" w:rsidRDefault="00F71B39">
            <w:pPr>
              <w:pStyle w:val="Normal0"/>
            </w:pPr>
            <w:r>
              <w:t>86</w:t>
            </w:r>
          </w:p>
        </w:tc>
        <w:tc>
          <w:tcPr>
            <w:tcW w:w="2359" w:type="dxa"/>
          </w:tcPr>
          <w:p w14:paraId="00000413" w14:textId="77777777" w:rsidR="00663CDF" w:rsidRDefault="00F71B39">
            <w:pPr>
              <w:pStyle w:val="Normal0"/>
            </w:pPr>
            <w:r>
              <w:t>72</w:t>
            </w:r>
          </w:p>
        </w:tc>
      </w:tr>
      <w:tr w:rsidR="00663CDF" w14:paraId="7F351231" w14:textId="77777777">
        <w:tc>
          <w:tcPr>
            <w:tcW w:w="961" w:type="dxa"/>
          </w:tcPr>
          <w:p w14:paraId="00000414" w14:textId="77777777" w:rsidR="00663CDF" w:rsidRDefault="00F71B39">
            <w:pPr>
              <w:pStyle w:val="Normal0"/>
            </w:pPr>
            <w:r>
              <w:t>2018</w:t>
            </w:r>
          </w:p>
        </w:tc>
        <w:tc>
          <w:tcPr>
            <w:tcW w:w="1488" w:type="dxa"/>
          </w:tcPr>
          <w:p w14:paraId="00000415" w14:textId="77777777" w:rsidR="00663CDF" w:rsidRDefault="00F71B39">
            <w:pPr>
              <w:pStyle w:val="Normal0"/>
            </w:pPr>
            <w:r>
              <w:t>82</w:t>
            </w:r>
          </w:p>
        </w:tc>
        <w:tc>
          <w:tcPr>
            <w:tcW w:w="1370" w:type="dxa"/>
          </w:tcPr>
          <w:p w14:paraId="00000416" w14:textId="77777777" w:rsidR="00663CDF" w:rsidRDefault="00F71B39">
            <w:pPr>
              <w:pStyle w:val="Normal0"/>
            </w:pPr>
            <w:r>
              <w:t>18</w:t>
            </w:r>
          </w:p>
        </w:tc>
        <w:tc>
          <w:tcPr>
            <w:tcW w:w="2650" w:type="dxa"/>
          </w:tcPr>
          <w:p w14:paraId="00000417" w14:textId="77777777" w:rsidR="00663CDF" w:rsidRDefault="00F71B39">
            <w:pPr>
              <w:pStyle w:val="Normal0"/>
            </w:pPr>
            <w:r>
              <w:t>87</w:t>
            </w:r>
          </w:p>
        </w:tc>
        <w:tc>
          <w:tcPr>
            <w:tcW w:w="2359" w:type="dxa"/>
          </w:tcPr>
          <w:p w14:paraId="00000418" w14:textId="77777777" w:rsidR="00663CDF" w:rsidRDefault="00F71B39">
            <w:pPr>
              <w:pStyle w:val="Normal0"/>
            </w:pPr>
            <w:r>
              <w:t>74</w:t>
            </w:r>
          </w:p>
        </w:tc>
      </w:tr>
      <w:tr w:rsidR="00663CDF" w14:paraId="6681BD71" w14:textId="77777777">
        <w:tc>
          <w:tcPr>
            <w:tcW w:w="961" w:type="dxa"/>
          </w:tcPr>
          <w:p w14:paraId="00000419" w14:textId="77777777" w:rsidR="00663CDF" w:rsidRDefault="00F71B39">
            <w:pPr>
              <w:pStyle w:val="Normal0"/>
            </w:pPr>
            <w:r>
              <w:t>2019</w:t>
            </w:r>
          </w:p>
        </w:tc>
        <w:tc>
          <w:tcPr>
            <w:tcW w:w="1488" w:type="dxa"/>
          </w:tcPr>
          <w:p w14:paraId="0000041A" w14:textId="77777777" w:rsidR="00663CDF" w:rsidRDefault="00F71B39">
            <w:pPr>
              <w:pStyle w:val="Normal0"/>
            </w:pPr>
            <w:r>
              <w:t>83,5</w:t>
            </w:r>
          </w:p>
        </w:tc>
        <w:tc>
          <w:tcPr>
            <w:tcW w:w="1370" w:type="dxa"/>
          </w:tcPr>
          <w:p w14:paraId="0000041B" w14:textId="77777777" w:rsidR="00663CDF" w:rsidRDefault="00F71B39">
            <w:pPr>
              <w:pStyle w:val="Normal0"/>
            </w:pPr>
            <w:r>
              <w:t>16</w:t>
            </w:r>
          </w:p>
        </w:tc>
        <w:tc>
          <w:tcPr>
            <w:tcW w:w="2650" w:type="dxa"/>
          </w:tcPr>
          <w:p w14:paraId="0000041C" w14:textId="77777777" w:rsidR="00663CDF" w:rsidRDefault="00F71B39">
            <w:pPr>
              <w:pStyle w:val="Normal0"/>
            </w:pPr>
            <w:r>
              <w:t>88</w:t>
            </w:r>
          </w:p>
        </w:tc>
        <w:tc>
          <w:tcPr>
            <w:tcW w:w="2359" w:type="dxa"/>
          </w:tcPr>
          <w:p w14:paraId="0000041D" w14:textId="77777777" w:rsidR="00663CDF" w:rsidRDefault="00F71B39">
            <w:pPr>
              <w:pStyle w:val="Normal0"/>
            </w:pPr>
            <w:r>
              <w:t>76</w:t>
            </w:r>
          </w:p>
        </w:tc>
      </w:tr>
      <w:tr w:rsidR="00663CDF" w14:paraId="467BC84F" w14:textId="77777777">
        <w:tc>
          <w:tcPr>
            <w:tcW w:w="961" w:type="dxa"/>
          </w:tcPr>
          <w:p w14:paraId="0000041E" w14:textId="77777777" w:rsidR="00663CDF" w:rsidRDefault="00F71B39">
            <w:pPr>
              <w:pStyle w:val="Normal0"/>
            </w:pPr>
            <w:r>
              <w:t>2020</w:t>
            </w:r>
          </w:p>
        </w:tc>
        <w:tc>
          <w:tcPr>
            <w:tcW w:w="1488" w:type="dxa"/>
          </w:tcPr>
          <w:p w14:paraId="0000041F" w14:textId="77777777" w:rsidR="00663CDF" w:rsidRDefault="00F71B39">
            <w:pPr>
              <w:pStyle w:val="Normal0"/>
            </w:pPr>
            <w:r>
              <w:t>84</w:t>
            </w:r>
          </w:p>
        </w:tc>
        <w:tc>
          <w:tcPr>
            <w:tcW w:w="1370" w:type="dxa"/>
          </w:tcPr>
          <w:p w14:paraId="00000420" w14:textId="77777777" w:rsidR="00663CDF" w:rsidRDefault="00F71B39">
            <w:pPr>
              <w:pStyle w:val="Normal0"/>
            </w:pPr>
            <w:r>
              <w:t>16</w:t>
            </w:r>
          </w:p>
        </w:tc>
        <w:tc>
          <w:tcPr>
            <w:tcW w:w="2650" w:type="dxa"/>
          </w:tcPr>
          <w:p w14:paraId="00000421" w14:textId="77777777" w:rsidR="00663CDF" w:rsidRDefault="00F71B39">
            <w:pPr>
              <w:pStyle w:val="Normal0"/>
            </w:pPr>
            <w:r>
              <w:t>89</w:t>
            </w:r>
          </w:p>
        </w:tc>
        <w:tc>
          <w:tcPr>
            <w:tcW w:w="2359" w:type="dxa"/>
          </w:tcPr>
          <w:p w14:paraId="00000422" w14:textId="77777777" w:rsidR="00663CDF" w:rsidRDefault="00F71B39">
            <w:pPr>
              <w:pStyle w:val="Normal0"/>
            </w:pPr>
            <w:r>
              <w:t>77</w:t>
            </w:r>
          </w:p>
        </w:tc>
      </w:tr>
      <w:tr w:rsidR="00663CDF" w14:paraId="77A8FFD4" w14:textId="77777777">
        <w:tc>
          <w:tcPr>
            <w:tcW w:w="961" w:type="dxa"/>
          </w:tcPr>
          <w:p w14:paraId="00000423" w14:textId="77777777" w:rsidR="00663CDF" w:rsidRDefault="00F71B39">
            <w:pPr>
              <w:pStyle w:val="Normal0"/>
            </w:pPr>
            <w:r>
              <w:t>2021</w:t>
            </w:r>
          </w:p>
        </w:tc>
        <w:tc>
          <w:tcPr>
            <w:tcW w:w="1488" w:type="dxa"/>
          </w:tcPr>
          <w:p w14:paraId="00000424" w14:textId="77777777" w:rsidR="00663CDF" w:rsidRDefault="00F71B39">
            <w:pPr>
              <w:pStyle w:val="Normal0"/>
            </w:pPr>
            <w:r>
              <w:t>84,5</w:t>
            </w:r>
          </w:p>
        </w:tc>
        <w:tc>
          <w:tcPr>
            <w:tcW w:w="1370" w:type="dxa"/>
          </w:tcPr>
          <w:p w14:paraId="00000425" w14:textId="77777777" w:rsidR="00663CDF" w:rsidRDefault="00F71B39">
            <w:pPr>
              <w:pStyle w:val="Normal0"/>
            </w:pPr>
            <w:r>
              <w:t>15,5</w:t>
            </w:r>
          </w:p>
        </w:tc>
        <w:tc>
          <w:tcPr>
            <w:tcW w:w="2650" w:type="dxa"/>
          </w:tcPr>
          <w:p w14:paraId="00000426" w14:textId="77777777" w:rsidR="00663CDF" w:rsidRDefault="00F71B39">
            <w:pPr>
              <w:pStyle w:val="Normal0"/>
            </w:pPr>
            <w:r>
              <w:t>89,5</w:t>
            </w:r>
          </w:p>
        </w:tc>
        <w:tc>
          <w:tcPr>
            <w:tcW w:w="2359" w:type="dxa"/>
          </w:tcPr>
          <w:p w14:paraId="00000427" w14:textId="77777777" w:rsidR="00663CDF" w:rsidRDefault="00F71B39">
            <w:pPr>
              <w:pStyle w:val="Normal0"/>
            </w:pPr>
            <w:r>
              <w:t>78</w:t>
            </w:r>
          </w:p>
        </w:tc>
      </w:tr>
      <w:tr w:rsidR="00663CDF" w14:paraId="6B9475C6" w14:textId="77777777">
        <w:tc>
          <w:tcPr>
            <w:tcW w:w="961" w:type="dxa"/>
          </w:tcPr>
          <w:p w14:paraId="00000428" w14:textId="77777777" w:rsidR="00663CDF" w:rsidRDefault="00F71B39">
            <w:pPr>
              <w:pStyle w:val="Normal0"/>
            </w:pPr>
            <w:r>
              <w:t>2022</w:t>
            </w:r>
          </w:p>
        </w:tc>
        <w:tc>
          <w:tcPr>
            <w:tcW w:w="1488" w:type="dxa"/>
          </w:tcPr>
          <w:p w14:paraId="00000429" w14:textId="77777777" w:rsidR="00663CDF" w:rsidRDefault="00F71B39">
            <w:pPr>
              <w:pStyle w:val="Normal0"/>
            </w:pPr>
            <w:r>
              <w:t>84,8</w:t>
            </w:r>
          </w:p>
        </w:tc>
        <w:tc>
          <w:tcPr>
            <w:tcW w:w="1370" w:type="dxa"/>
          </w:tcPr>
          <w:p w14:paraId="0000042A" w14:textId="77777777" w:rsidR="00663CDF" w:rsidRDefault="00F71B39">
            <w:pPr>
              <w:pStyle w:val="Normal0"/>
            </w:pPr>
            <w:r>
              <w:t>15,2</w:t>
            </w:r>
          </w:p>
        </w:tc>
        <w:tc>
          <w:tcPr>
            <w:tcW w:w="2650" w:type="dxa"/>
          </w:tcPr>
          <w:p w14:paraId="0000042B" w14:textId="77777777" w:rsidR="00663CDF" w:rsidRDefault="00F71B39">
            <w:pPr>
              <w:pStyle w:val="Normal0"/>
            </w:pPr>
            <w:r>
              <w:t>89,8</w:t>
            </w:r>
          </w:p>
        </w:tc>
        <w:tc>
          <w:tcPr>
            <w:tcW w:w="2359" w:type="dxa"/>
          </w:tcPr>
          <w:p w14:paraId="0000042C" w14:textId="77777777" w:rsidR="00663CDF" w:rsidRDefault="00F71B39">
            <w:pPr>
              <w:pStyle w:val="Normal0"/>
            </w:pPr>
            <w:r>
              <w:t>78,5</w:t>
            </w:r>
          </w:p>
        </w:tc>
      </w:tr>
      <w:tr w:rsidR="00663CDF" w14:paraId="37C5D121" w14:textId="77777777">
        <w:tc>
          <w:tcPr>
            <w:tcW w:w="961" w:type="dxa"/>
          </w:tcPr>
          <w:p w14:paraId="0000042D" w14:textId="77777777" w:rsidR="00663CDF" w:rsidRDefault="00F71B39">
            <w:pPr>
              <w:pStyle w:val="Normal0"/>
            </w:pPr>
            <w:r>
              <w:lastRenderedPageBreak/>
              <w:t>2023</w:t>
            </w:r>
          </w:p>
        </w:tc>
        <w:tc>
          <w:tcPr>
            <w:tcW w:w="1488" w:type="dxa"/>
          </w:tcPr>
          <w:p w14:paraId="0000042E" w14:textId="77777777" w:rsidR="00663CDF" w:rsidRDefault="00F71B39">
            <w:pPr>
              <w:pStyle w:val="Normal0"/>
            </w:pPr>
            <w:r>
              <w:t>85</w:t>
            </w:r>
          </w:p>
        </w:tc>
        <w:tc>
          <w:tcPr>
            <w:tcW w:w="1370" w:type="dxa"/>
          </w:tcPr>
          <w:p w14:paraId="0000042F" w14:textId="77777777" w:rsidR="00663CDF" w:rsidRDefault="00F71B39">
            <w:pPr>
              <w:pStyle w:val="Normal0"/>
            </w:pPr>
            <w:r>
              <w:t>15</w:t>
            </w:r>
          </w:p>
        </w:tc>
        <w:tc>
          <w:tcPr>
            <w:tcW w:w="2650" w:type="dxa"/>
          </w:tcPr>
          <w:p w14:paraId="00000430" w14:textId="77777777" w:rsidR="00663CDF" w:rsidRDefault="00F71B39">
            <w:pPr>
              <w:pStyle w:val="Normal0"/>
            </w:pPr>
            <w:r>
              <w:t>90</w:t>
            </w:r>
          </w:p>
        </w:tc>
        <w:tc>
          <w:tcPr>
            <w:tcW w:w="2359" w:type="dxa"/>
          </w:tcPr>
          <w:p w14:paraId="00000431" w14:textId="77777777" w:rsidR="00663CDF" w:rsidRDefault="00F71B39">
            <w:pPr>
              <w:pStyle w:val="Normal0"/>
            </w:pPr>
            <w:r>
              <w:t>79</w:t>
            </w:r>
          </w:p>
        </w:tc>
      </w:tr>
    </w:tbl>
    <w:p w14:paraId="00000432" w14:textId="77777777" w:rsidR="00663CDF" w:rsidRDefault="00F71B39">
      <w:pPr>
        <w:pStyle w:val="Normal0"/>
      </w:pPr>
      <w:r>
        <w:rPr>
          <w:b/>
        </w:rPr>
        <w:t>Fuente: Departamento Nacional de Planeación (DNP), Terridata. Elaboración propia</w:t>
      </w:r>
      <w:r>
        <w:t>.</w:t>
      </w:r>
    </w:p>
    <w:p w14:paraId="00000433" w14:textId="77777777" w:rsidR="00663CDF" w:rsidRDefault="00663CDF">
      <w:pPr>
        <w:pStyle w:val="Normal0"/>
      </w:pPr>
    </w:p>
    <w:p w14:paraId="00000434" w14:textId="77777777" w:rsidR="00663CDF" w:rsidRDefault="00F71B39">
      <w:pPr>
        <w:pStyle w:val="Normal0"/>
        <w:spacing w:line="360" w:lineRule="auto"/>
      </w:pPr>
      <w:r>
        <w:t>Además del análisis estructural del índice de necesidades básicas satisfechas (NBS) e insatisfechas (NBI), es imprescindible complementar la evaluación del bienestar de la población de Turbaco mediante la observación de los niveles de cobertura en educación, salud y servicios públicos esenciales. Estos indicadores son fundamentales para interpretar con mayor precisión el alcance real de la satisfacción de las necesidades básicas de los ciudadanos, y permiten relacionar directamente los efectos de la categorización municipal y la gestión pública territorial con el desarrollo social.</w:t>
      </w:r>
    </w:p>
    <w:p w14:paraId="00000435" w14:textId="77777777" w:rsidR="00663CDF" w:rsidRDefault="00663CDF">
      <w:pPr>
        <w:pStyle w:val="Normal0"/>
        <w:spacing w:line="360" w:lineRule="auto"/>
      </w:pPr>
    </w:p>
    <w:p w14:paraId="00000436" w14:textId="77777777" w:rsidR="00663CDF" w:rsidRDefault="00F71B39">
      <w:pPr>
        <w:pStyle w:val="Normal0"/>
        <w:spacing w:line="360" w:lineRule="auto"/>
        <w:ind w:firstLine="708"/>
      </w:pPr>
      <w:r>
        <w:t>De acuerdo con los datos oficiales del Sistema de Planeación Territorial (SisPT) del Departamento Nacional de Planeación (2024), la cobertura en servicios públicos esenciales (agua potable, saneamiento y aseo) ha sido históricamente la dimensión con mejor desempeño en el municipio. Entre 2016 y 2023, la cobertura en este componente se mantuvo consistentemente por encima del 80%, con un máximo del 91,5% en 2017 y una ligera reducción al 87,4% en 2023. Estos valores indican que, aunque la expansión urbana ha representado desafíos logísticos para la infraestructura de servicios, se ha logrado mantener un nivel aceptable de cobertura, especialmente en las zonas urbanas.</w:t>
      </w:r>
    </w:p>
    <w:p w14:paraId="00000437" w14:textId="77777777" w:rsidR="00663CDF" w:rsidRDefault="00663CDF">
      <w:pPr>
        <w:pStyle w:val="Normal0"/>
        <w:spacing w:line="360" w:lineRule="auto"/>
        <w:ind w:firstLine="708"/>
      </w:pPr>
    </w:p>
    <w:p w14:paraId="00000438" w14:textId="77777777" w:rsidR="00663CDF" w:rsidRDefault="00F71B39">
      <w:pPr>
        <w:pStyle w:val="Normal0"/>
        <w:spacing w:line="360" w:lineRule="auto"/>
        <w:ind w:firstLine="708"/>
      </w:pPr>
      <w:r>
        <w:t>Sin embargo, persisten desigualdades estructurales en la distribución territorial, ya que en las zonas rurales del municipio los niveles de acceso continúan siendo precarios, por debajo del 50% en algunos corregimientos, lo que no se refleja del todo en el promedio general. Esta brecha se evidencia también en los resultados de las entrevistas aplicadas en el marco de esta investigación, donde el 58% de los participantes manifestó tener problemas de acceso al agua potable en sus sectores (Entrevistas Maestría, 2024).</w:t>
      </w:r>
    </w:p>
    <w:p w14:paraId="00000439" w14:textId="77777777" w:rsidR="00663CDF" w:rsidRDefault="00663CDF">
      <w:pPr>
        <w:pStyle w:val="Normal0"/>
        <w:spacing w:line="360" w:lineRule="auto"/>
        <w:ind w:firstLine="708"/>
      </w:pPr>
    </w:p>
    <w:p w14:paraId="0000043A" w14:textId="77777777" w:rsidR="00663CDF" w:rsidRDefault="00F71B39">
      <w:pPr>
        <w:pStyle w:val="Normal0"/>
        <w:spacing w:line="360" w:lineRule="auto"/>
        <w:ind w:firstLine="708"/>
      </w:pPr>
      <w:r>
        <w:lastRenderedPageBreak/>
        <w:t>En contraste, el componente de salud ha mostrado una cobertura considerablemente más reducida y estancada en cuanto al acceso efectivo a servicios médicos, especialmente en lo relacionado con la población de bajos ingresos. Aunque la cobertura del régimen subsidiado en Turbaco se ha mantenido relativamente alta —superior al 97% entre 2016 y 2023—, esto no se traduce necesariamente en un acceso real a servicios de salud de calidad, debido a barreras estructurales y geográficas. Según datos oficiales del Departamento Nacional de Planeación (DNP), la cobertura del régimen subsidiado pasó de 98,1% en 2016 a 98,4% en 2023, con una ligera caída a 97,7% en 2020 como efecto de la pandemia (DNP–Terridata, 2024).</w:t>
      </w:r>
    </w:p>
    <w:p w14:paraId="0000043B" w14:textId="77777777" w:rsidR="00663CDF" w:rsidRDefault="00663CDF">
      <w:pPr>
        <w:pStyle w:val="Normal0"/>
        <w:spacing w:line="360" w:lineRule="auto"/>
        <w:ind w:firstLine="708"/>
      </w:pPr>
    </w:p>
    <w:p w14:paraId="0000043C" w14:textId="77777777" w:rsidR="00663CDF" w:rsidRDefault="00F71B39">
      <w:pPr>
        <w:pStyle w:val="Normal0"/>
        <w:spacing w:line="360" w:lineRule="auto"/>
        <w:ind w:firstLine="708"/>
      </w:pPr>
      <w:r>
        <w:t>A pesar de estos niveles de aseguramiento, persisten grandes desafíos de acceso efectivo, especialmente en zonas periféricas y rurales, donde la infraestructura es limitada y los centros de salud no siempre están habilitados o cuentan con dotación completa. Esto afecta de forma directa a la población de estratos 1 y 2, quienes constituyen más del 80% de los habitantes del municipio y dependen en su mayoría del régimen subsidiado para recibir atención médica (Alcaldía de Turbaco, 2020). Según el componente diagnóstico del Acuerdo Municipal 003, en el año 2020 un total de 59.455 personas estaban afiliadas al régimen subsidiado, mientras que sólo 1.773 estaban en el contributivo, evidenciando una marcada dependencia institucional (Alcaldía de Turbaco, 2020, p. 24).</w:t>
      </w:r>
    </w:p>
    <w:p w14:paraId="0000043D" w14:textId="77777777" w:rsidR="00663CDF" w:rsidRDefault="00663CDF">
      <w:pPr>
        <w:pStyle w:val="Normal0"/>
        <w:spacing w:line="360" w:lineRule="auto"/>
        <w:ind w:firstLine="708"/>
      </w:pPr>
    </w:p>
    <w:p w14:paraId="0000043E" w14:textId="77777777" w:rsidR="00663CDF" w:rsidRDefault="00F71B39">
      <w:pPr>
        <w:pStyle w:val="Normal0"/>
        <w:spacing w:line="360" w:lineRule="auto"/>
        <w:ind w:firstLine="708"/>
      </w:pPr>
      <w:r>
        <w:t xml:space="preserve">Estas condiciones explican por qué, aunque el aseguramiento formal es alto, la percepción de acceso y la calidad del servicio siguen siendo bajas para buena parte de la población, especialmente en corregimientos como Cañaveral y San José de Chiquito, donde los servicios son intermitentes o dependen de la remisión a centros urbanos. </w:t>
      </w:r>
    </w:p>
    <w:p w14:paraId="0000043F" w14:textId="77777777" w:rsidR="00663CDF" w:rsidRDefault="00663CDF">
      <w:pPr>
        <w:pStyle w:val="Normal0"/>
        <w:spacing w:line="360" w:lineRule="auto"/>
        <w:ind w:firstLine="708"/>
      </w:pPr>
    </w:p>
    <w:p w14:paraId="00000440" w14:textId="77777777" w:rsidR="00663CDF" w:rsidRDefault="00F71B39">
      <w:pPr>
        <w:pStyle w:val="Normal0"/>
        <w:spacing w:line="360" w:lineRule="auto"/>
        <w:ind w:firstLine="708"/>
      </w:pPr>
      <w:r>
        <w:lastRenderedPageBreak/>
        <w:t>La cobertura en educación también expone oscilaciones importantes. En el periodo analizado, el municipio experimentó una reducción progresiva entre 2016 y 2019, pasando de un 59,2% en 2016 a su punto más bajo en 2019, con un 51,3%, según datos del Sistema de Planeación Territorial del Departamento Nacional de Planeación (DNP, 2024). Este retroceso resulta alarmante, ya que afecta directamente a la población joven en edad escolar, particularmente a los hogares pertenecientes a los estratos 1 y 2, que dependen casi en su totalidad de la oferta educativa pública para garantizar la permanencia escolar.</w:t>
      </w:r>
    </w:p>
    <w:p w14:paraId="00000441" w14:textId="77777777" w:rsidR="00663CDF" w:rsidRDefault="00663CDF">
      <w:pPr>
        <w:pStyle w:val="Normal0"/>
        <w:spacing w:line="360" w:lineRule="auto"/>
        <w:ind w:firstLine="708"/>
      </w:pPr>
    </w:p>
    <w:p w14:paraId="00000442" w14:textId="77777777" w:rsidR="00663CDF" w:rsidRDefault="00F71B39">
      <w:pPr>
        <w:pStyle w:val="Normal0"/>
        <w:spacing w:line="360" w:lineRule="auto"/>
        <w:ind w:firstLine="708"/>
      </w:pPr>
      <w:r>
        <w:t>A partir de 2020, se observa una recuperación paulatina que culmina en 2023 con una cobertura del 61,4%. No obstante, esta cifra sigue siendo insuficiente frente a los estándares de cobertura plena establecidos en las metas nacionales. El rezago en esta dimensión se explica, entre otros factores, por la falta de cupos en la educación media y superior, el limitado número de instituciones educativas públicas en las zonas rurales, así como las barreras económicas que dificultan la permanencia estudiantil. En muchos casos, las familias deben asumir costos indirectos como transporte, alimentación y materiales escolares, lo cual afecta de manera directa a los estudiantes de menores ingresos.</w:t>
      </w:r>
    </w:p>
    <w:p w14:paraId="00000443" w14:textId="77777777" w:rsidR="00663CDF" w:rsidRDefault="00663CDF">
      <w:pPr>
        <w:pStyle w:val="Normal0"/>
        <w:spacing w:line="360" w:lineRule="auto"/>
        <w:ind w:firstLine="708"/>
      </w:pPr>
    </w:p>
    <w:p w14:paraId="00000444" w14:textId="77777777" w:rsidR="00663CDF" w:rsidRDefault="00F71B39">
      <w:pPr>
        <w:pStyle w:val="Normal0"/>
        <w:spacing w:line="360" w:lineRule="auto"/>
        <w:ind w:firstLine="708"/>
      </w:pPr>
      <w:r>
        <w:t>Al integrar estos tres indicadores, es evidente que los logros alcanzados por el municipio en cobertura de servicios públicos —específicamente energía, gas y recolección de basuras— no se replican con igual éxito en los componentes de salud y educación, dos pilares esenciales para reducir las brechas sociales y apuntalar el desarrollo humano. Tal como se observa en la Tabla 12, mientras la cobertura en servicios públicos alcanzó un 91,5% en 2017 y se mantuvo por encima del 90% hasta 2022, los niveles de salud y educación se mantuvieron en cifras considerablemente más bajas durante el mismo periodo (DNP, 2024).</w:t>
      </w:r>
    </w:p>
    <w:p w14:paraId="00000445" w14:textId="77777777" w:rsidR="00663CDF" w:rsidRDefault="00663CDF">
      <w:pPr>
        <w:pStyle w:val="Normal0"/>
        <w:spacing w:line="360" w:lineRule="auto"/>
        <w:ind w:firstLine="708"/>
      </w:pPr>
    </w:p>
    <w:p w14:paraId="00000446" w14:textId="77777777" w:rsidR="00663CDF" w:rsidRDefault="00F71B39">
      <w:pPr>
        <w:pStyle w:val="Normal0"/>
        <w:spacing w:line="360" w:lineRule="auto"/>
        <w:ind w:firstLine="708"/>
      </w:pPr>
      <w:r>
        <w:t xml:space="preserve">Esta disparidad también revela una tensión estructural entre los avances en infraestructura básica y las deficiencias persistentes en la inversión social, lo que </w:t>
      </w:r>
      <w:r>
        <w:lastRenderedPageBreak/>
        <w:t>pone en entredicho la eficacia de la categorización como herramienta para mejorar las condiciones de vida de la población. En consecuencia, el índice de necesidades básicas satisfechas (NBS) no puede analizarse únicamente desde la perspectiva cuantitativa de servicios básicos domiciliarios, sino que debe complementarse con un enfoque integral que considere las dinámicas territoriales de acceso, calidad y sostenibilidad de los bienes públicos.</w:t>
      </w:r>
    </w:p>
    <w:p w14:paraId="00000447" w14:textId="77777777" w:rsidR="00663CDF" w:rsidRDefault="00663CDF">
      <w:pPr>
        <w:pStyle w:val="Normal0"/>
        <w:spacing w:line="360" w:lineRule="auto"/>
        <w:ind w:firstLine="708"/>
      </w:pPr>
    </w:p>
    <w:p w14:paraId="00000448" w14:textId="77777777" w:rsidR="00663CDF" w:rsidRDefault="00F71B39">
      <w:pPr>
        <w:pStyle w:val="Normal0"/>
        <w:pBdr>
          <w:top w:val="nil"/>
          <w:left w:val="nil"/>
          <w:bottom w:val="nil"/>
          <w:right w:val="nil"/>
          <w:between w:val="nil"/>
        </w:pBdr>
        <w:spacing w:after="160" w:line="360" w:lineRule="auto"/>
        <w:rPr>
          <w:b/>
          <w:color w:val="000000"/>
        </w:rPr>
      </w:pPr>
      <w:bookmarkStart w:id="56" w:name="_heading=h.k6uucki9fvnl" w:colFirst="0" w:colLast="0"/>
      <w:bookmarkEnd w:id="56"/>
      <w:r>
        <w:rPr>
          <w:b/>
          <w:color w:val="000000"/>
        </w:rPr>
        <w:t>Tabla 12. Cobertura por Componentes de Resultados (%) - Turbaco, Bolívar</w:t>
      </w:r>
    </w:p>
    <w:tbl>
      <w:tblPr>
        <w:tblStyle w:val="ab"/>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063"/>
        <w:gridCol w:w="2345"/>
        <w:gridCol w:w="1340"/>
        <w:gridCol w:w="4080"/>
      </w:tblGrid>
      <w:tr w:rsidR="00663CDF" w14:paraId="4D7A7E47" w14:textId="77777777">
        <w:tc>
          <w:tcPr>
            <w:tcW w:w="1063" w:type="dxa"/>
            <w:vAlign w:val="center"/>
          </w:tcPr>
          <w:p w14:paraId="00000449" w14:textId="77777777" w:rsidR="00663CDF" w:rsidRDefault="00F71B39">
            <w:pPr>
              <w:pStyle w:val="Normal0"/>
              <w:spacing w:line="360" w:lineRule="auto"/>
              <w:jc w:val="center"/>
              <w:rPr>
                <w:b/>
              </w:rPr>
            </w:pPr>
            <w:r>
              <w:rPr>
                <w:b/>
              </w:rPr>
              <w:t>Año</w:t>
            </w:r>
          </w:p>
        </w:tc>
        <w:tc>
          <w:tcPr>
            <w:tcW w:w="2345" w:type="dxa"/>
            <w:vAlign w:val="center"/>
          </w:tcPr>
          <w:p w14:paraId="0000044A" w14:textId="77777777" w:rsidR="00663CDF" w:rsidRDefault="00F71B39">
            <w:pPr>
              <w:pStyle w:val="Normal0"/>
              <w:spacing w:line="360" w:lineRule="auto"/>
              <w:jc w:val="center"/>
              <w:rPr>
                <w:b/>
              </w:rPr>
            </w:pPr>
            <w:r>
              <w:rPr>
                <w:b/>
              </w:rPr>
              <w:t>Educación</w:t>
            </w:r>
          </w:p>
        </w:tc>
        <w:tc>
          <w:tcPr>
            <w:tcW w:w="1340" w:type="dxa"/>
            <w:vAlign w:val="center"/>
          </w:tcPr>
          <w:p w14:paraId="0000044B" w14:textId="77777777" w:rsidR="00663CDF" w:rsidRDefault="00F71B39">
            <w:pPr>
              <w:pStyle w:val="Normal0"/>
              <w:spacing w:line="360" w:lineRule="auto"/>
              <w:jc w:val="center"/>
              <w:rPr>
                <w:b/>
              </w:rPr>
            </w:pPr>
            <w:r>
              <w:rPr>
                <w:b/>
              </w:rPr>
              <w:t>Salud</w:t>
            </w:r>
          </w:p>
        </w:tc>
        <w:tc>
          <w:tcPr>
            <w:tcW w:w="4080" w:type="dxa"/>
            <w:vAlign w:val="center"/>
          </w:tcPr>
          <w:p w14:paraId="0000044C" w14:textId="77777777" w:rsidR="00663CDF" w:rsidRDefault="00F71B39">
            <w:pPr>
              <w:pStyle w:val="Normal0"/>
              <w:spacing w:line="360" w:lineRule="auto"/>
              <w:jc w:val="center"/>
              <w:rPr>
                <w:b/>
              </w:rPr>
            </w:pPr>
            <w:r>
              <w:rPr>
                <w:b/>
              </w:rPr>
              <w:t>Servicios Públicos</w:t>
            </w:r>
          </w:p>
        </w:tc>
      </w:tr>
      <w:tr w:rsidR="00663CDF" w14:paraId="71AF3314" w14:textId="77777777">
        <w:tc>
          <w:tcPr>
            <w:tcW w:w="1063" w:type="dxa"/>
            <w:vAlign w:val="center"/>
          </w:tcPr>
          <w:p w14:paraId="0000044D" w14:textId="77777777" w:rsidR="00663CDF" w:rsidRDefault="00F71B39">
            <w:pPr>
              <w:pStyle w:val="Normal0"/>
              <w:spacing w:line="360" w:lineRule="auto"/>
              <w:jc w:val="center"/>
            </w:pPr>
            <w:r>
              <w:t>2016</w:t>
            </w:r>
          </w:p>
        </w:tc>
        <w:tc>
          <w:tcPr>
            <w:tcW w:w="2345" w:type="dxa"/>
            <w:vAlign w:val="center"/>
          </w:tcPr>
          <w:p w14:paraId="0000044E" w14:textId="77777777" w:rsidR="00663CDF" w:rsidRDefault="00F71B39">
            <w:pPr>
              <w:pStyle w:val="Normal0"/>
              <w:spacing w:line="360" w:lineRule="auto"/>
              <w:jc w:val="center"/>
            </w:pPr>
            <w:r>
              <w:t>59.2%</w:t>
            </w:r>
          </w:p>
        </w:tc>
        <w:tc>
          <w:tcPr>
            <w:tcW w:w="1340" w:type="dxa"/>
            <w:vAlign w:val="center"/>
          </w:tcPr>
          <w:p w14:paraId="0000044F" w14:textId="77777777" w:rsidR="00663CDF" w:rsidRDefault="00F71B39">
            <w:pPr>
              <w:pStyle w:val="Normal0"/>
              <w:spacing w:line="360" w:lineRule="auto"/>
              <w:jc w:val="center"/>
            </w:pPr>
            <w:r>
              <w:t>36.5%</w:t>
            </w:r>
          </w:p>
        </w:tc>
        <w:tc>
          <w:tcPr>
            <w:tcW w:w="4080" w:type="dxa"/>
            <w:vAlign w:val="center"/>
          </w:tcPr>
          <w:p w14:paraId="00000450" w14:textId="77777777" w:rsidR="00663CDF" w:rsidRDefault="00F71B39">
            <w:pPr>
              <w:pStyle w:val="Normal0"/>
              <w:spacing w:line="360" w:lineRule="auto"/>
              <w:jc w:val="center"/>
            </w:pPr>
            <w:r>
              <w:t>81.6%</w:t>
            </w:r>
          </w:p>
        </w:tc>
      </w:tr>
      <w:tr w:rsidR="00663CDF" w14:paraId="40D6C583" w14:textId="77777777">
        <w:tc>
          <w:tcPr>
            <w:tcW w:w="1063" w:type="dxa"/>
            <w:vAlign w:val="center"/>
          </w:tcPr>
          <w:p w14:paraId="00000451" w14:textId="77777777" w:rsidR="00663CDF" w:rsidRDefault="00F71B39">
            <w:pPr>
              <w:pStyle w:val="Normal0"/>
              <w:spacing w:line="360" w:lineRule="auto"/>
              <w:jc w:val="center"/>
            </w:pPr>
            <w:r>
              <w:t>2017</w:t>
            </w:r>
          </w:p>
        </w:tc>
        <w:tc>
          <w:tcPr>
            <w:tcW w:w="2345" w:type="dxa"/>
            <w:vAlign w:val="center"/>
          </w:tcPr>
          <w:p w14:paraId="00000452" w14:textId="77777777" w:rsidR="00663CDF" w:rsidRDefault="00F71B39">
            <w:pPr>
              <w:pStyle w:val="Normal0"/>
              <w:spacing w:line="360" w:lineRule="auto"/>
              <w:jc w:val="center"/>
            </w:pPr>
            <w:r>
              <w:t>62.6%</w:t>
            </w:r>
          </w:p>
        </w:tc>
        <w:tc>
          <w:tcPr>
            <w:tcW w:w="1340" w:type="dxa"/>
            <w:vAlign w:val="center"/>
          </w:tcPr>
          <w:p w14:paraId="00000453" w14:textId="77777777" w:rsidR="00663CDF" w:rsidRDefault="00F71B39">
            <w:pPr>
              <w:pStyle w:val="Normal0"/>
              <w:spacing w:line="360" w:lineRule="auto"/>
              <w:jc w:val="center"/>
            </w:pPr>
            <w:r>
              <w:t>36.7%</w:t>
            </w:r>
          </w:p>
        </w:tc>
        <w:tc>
          <w:tcPr>
            <w:tcW w:w="4080" w:type="dxa"/>
            <w:vAlign w:val="center"/>
          </w:tcPr>
          <w:p w14:paraId="00000454" w14:textId="77777777" w:rsidR="00663CDF" w:rsidRDefault="00F71B39">
            <w:pPr>
              <w:pStyle w:val="Normal0"/>
              <w:spacing w:line="360" w:lineRule="auto"/>
              <w:jc w:val="center"/>
            </w:pPr>
            <w:r>
              <w:t>91.5%</w:t>
            </w:r>
          </w:p>
        </w:tc>
      </w:tr>
      <w:tr w:rsidR="00663CDF" w14:paraId="3F15D90D" w14:textId="77777777">
        <w:tc>
          <w:tcPr>
            <w:tcW w:w="1063" w:type="dxa"/>
            <w:vAlign w:val="center"/>
          </w:tcPr>
          <w:p w14:paraId="00000455" w14:textId="77777777" w:rsidR="00663CDF" w:rsidRDefault="00F71B39">
            <w:pPr>
              <w:pStyle w:val="Normal0"/>
              <w:spacing w:line="360" w:lineRule="auto"/>
              <w:jc w:val="center"/>
            </w:pPr>
            <w:r>
              <w:t>2018</w:t>
            </w:r>
          </w:p>
        </w:tc>
        <w:tc>
          <w:tcPr>
            <w:tcW w:w="2345" w:type="dxa"/>
            <w:vAlign w:val="center"/>
          </w:tcPr>
          <w:p w14:paraId="00000456" w14:textId="77777777" w:rsidR="00663CDF" w:rsidRDefault="00F71B39">
            <w:pPr>
              <w:pStyle w:val="Normal0"/>
              <w:spacing w:line="360" w:lineRule="auto"/>
              <w:jc w:val="center"/>
            </w:pPr>
            <w:r>
              <w:t>61.4%</w:t>
            </w:r>
          </w:p>
        </w:tc>
        <w:tc>
          <w:tcPr>
            <w:tcW w:w="1340" w:type="dxa"/>
            <w:vAlign w:val="center"/>
          </w:tcPr>
          <w:p w14:paraId="00000457" w14:textId="77777777" w:rsidR="00663CDF" w:rsidRDefault="00F71B39">
            <w:pPr>
              <w:pStyle w:val="Normal0"/>
              <w:spacing w:line="360" w:lineRule="auto"/>
              <w:jc w:val="center"/>
            </w:pPr>
            <w:r>
              <w:t>37.2%</w:t>
            </w:r>
          </w:p>
        </w:tc>
        <w:tc>
          <w:tcPr>
            <w:tcW w:w="4080" w:type="dxa"/>
            <w:vAlign w:val="center"/>
          </w:tcPr>
          <w:p w14:paraId="00000458" w14:textId="77777777" w:rsidR="00663CDF" w:rsidRDefault="00F71B39">
            <w:pPr>
              <w:pStyle w:val="Normal0"/>
              <w:spacing w:line="360" w:lineRule="auto"/>
              <w:jc w:val="center"/>
            </w:pPr>
            <w:r>
              <w:t>88.6%</w:t>
            </w:r>
          </w:p>
        </w:tc>
      </w:tr>
      <w:tr w:rsidR="00663CDF" w14:paraId="2E2E6B11" w14:textId="77777777">
        <w:tc>
          <w:tcPr>
            <w:tcW w:w="1063" w:type="dxa"/>
            <w:vAlign w:val="center"/>
          </w:tcPr>
          <w:p w14:paraId="00000459" w14:textId="77777777" w:rsidR="00663CDF" w:rsidRDefault="00F71B39">
            <w:pPr>
              <w:pStyle w:val="Normal0"/>
              <w:spacing w:line="360" w:lineRule="auto"/>
              <w:jc w:val="center"/>
            </w:pPr>
            <w:r>
              <w:t>2019</w:t>
            </w:r>
          </w:p>
        </w:tc>
        <w:tc>
          <w:tcPr>
            <w:tcW w:w="2345" w:type="dxa"/>
            <w:vAlign w:val="center"/>
          </w:tcPr>
          <w:p w14:paraId="0000045A" w14:textId="77777777" w:rsidR="00663CDF" w:rsidRDefault="00F71B39">
            <w:pPr>
              <w:pStyle w:val="Normal0"/>
              <w:spacing w:line="360" w:lineRule="auto"/>
              <w:jc w:val="center"/>
            </w:pPr>
            <w:r>
              <w:t>51.3%</w:t>
            </w:r>
          </w:p>
        </w:tc>
        <w:tc>
          <w:tcPr>
            <w:tcW w:w="1340" w:type="dxa"/>
            <w:vAlign w:val="center"/>
          </w:tcPr>
          <w:p w14:paraId="0000045B" w14:textId="77777777" w:rsidR="00663CDF" w:rsidRDefault="00F71B39">
            <w:pPr>
              <w:pStyle w:val="Normal0"/>
              <w:spacing w:line="360" w:lineRule="auto"/>
              <w:jc w:val="center"/>
            </w:pPr>
            <w:r>
              <w:t>34.4%</w:t>
            </w:r>
          </w:p>
        </w:tc>
        <w:tc>
          <w:tcPr>
            <w:tcW w:w="4080" w:type="dxa"/>
            <w:vAlign w:val="center"/>
          </w:tcPr>
          <w:p w14:paraId="0000045C" w14:textId="77777777" w:rsidR="00663CDF" w:rsidRDefault="00F71B39">
            <w:pPr>
              <w:pStyle w:val="Normal0"/>
              <w:spacing w:line="360" w:lineRule="auto"/>
              <w:jc w:val="center"/>
            </w:pPr>
            <w:r>
              <w:t>88.2%</w:t>
            </w:r>
          </w:p>
        </w:tc>
      </w:tr>
      <w:tr w:rsidR="00663CDF" w14:paraId="2755027C" w14:textId="77777777">
        <w:tc>
          <w:tcPr>
            <w:tcW w:w="1063" w:type="dxa"/>
            <w:vAlign w:val="center"/>
          </w:tcPr>
          <w:p w14:paraId="0000045D" w14:textId="77777777" w:rsidR="00663CDF" w:rsidRDefault="00F71B39">
            <w:pPr>
              <w:pStyle w:val="Normal0"/>
              <w:spacing w:line="360" w:lineRule="auto"/>
              <w:jc w:val="center"/>
            </w:pPr>
            <w:r>
              <w:t>2020</w:t>
            </w:r>
          </w:p>
        </w:tc>
        <w:tc>
          <w:tcPr>
            <w:tcW w:w="2345" w:type="dxa"/>
            <w:vAlign w:val="center"/>
          </w:tcPr>
          <w:p w14:paraId="0000045E" w14:textId="77777777" w:rsidR="00663CDF" w:rsidRDefault="00F71B39">
            <w:pPr>
              <w:pStyle w:val="Normal0"/>
              <w:spacing w:line="360" w:lineRule="auto"/>
              <w:jc w:val="center"/>
            </w:pPr>
            <w:r>
              <w:t>53.0%</w:t>
            </w:r>
          </w:p>
        </w:tc>
        <w:tc>
          <w:tcPr>
            <w:tcW w:w="1340" w:type="dxa"/>
            <w:vAlign w:val="center"/>
          </w:tcPr>
          <w:p w14:paraId="0000045F" w14:textId="77777777" w:rsidR="00663CDF" w:rsidRDefault="00F71B39">
            <w:pPr>
              <w:pStyle w:val="Normal0"/>
              <w:spacing w:line="360" w:lineRule="auto"/>
              <w:jc w:val="center"/>
            </w:pPr>
            <w:r>
              <w:t>35.4%</w:t>
            </w:r>
          </w:p>
        </w:tc>
        <w:tc>
          <w:tcPr>
            <w:tcW w:w="4080" w:type="dxa"/>
            <w:vAlign w:val="center"/>
          </w:tcPr>
          <w:p w14:paraId="00000460" w14:textId="77777777" w:rsidR="00663CDF" w:rsidRDefault="00F71B39">
            <w:pPr>
              <w:pStyle w:val="Normal0"/>
              <w:spacing w:line="360" w:lineRule="auto"/>
              <w:jc w:val="center"/>
            </w:pPr>
            <w:r>
              <w:t>90.3%</w:t>
            </w:r>
          </w:p>
        </w:tc>
      </w:tr>
      <w:tr w:rsidR="00663CDF" w14:paraId="0CABB29B" w14:textId="77777777">
        <w:tc>
          <w:tcPr>
            <w:tcW w:w="1063" w:type="dxa"/>
            <w:vAlign w:val="center"/>
          </w:tcPr>
          <w:p w14:paraId="00000461" w14:textId="77777777" w:rsidR="00663CDF" w:rsidRDefault="00F71B39">
            <w:pPr>
              <w:pStyle w:val="Normal0"/>
              <w:spacing w:line="360" w:lineRule="auto"/>
              <w:jc w:val="center"/>
            </w:pPr>
            <w:r>
              <w:t>2021</w:t>
            </w:r>
          </w:p>
        </w:tc>
        <w:tc>
          <w:tcPr>
            <w:tcW w:w="2345" w:type="dxa"/>
            <w:vAlign w:val="center"/>
          </w:tcPr>
          <w:p w14:paraId="00000462" w14:textId="77777777" w:rsidR="00663CDF" w:rsidRDefault="00F71B39">
            <w:pPr>
              <w:pStyle w:val="Normal0"/>
              <w:spacing w:line="360" w:lineRule="auto"/>
              <w:jc w:val="center"/>
            </w:pPr>
            <w:r>
              <w:t>52.4%</w:t>
            </w:r>
          </w:p>
        </w:tc>
        <w:tc>
          <w:tcPr>
            <w:tcW w:w="1340" w:type="dxa"/>
            <w:vAlign w:val="center"/>
          </w:tcPr>
          <w:p w14:paraId="00000463" w14:textId="77777777" w:rsidR="00663CDF" w:rsidRDefault="00F71B39">
            <w:pPr>
              <w:pStyle w:val="Normal0"/>
              <w:spacing w:line="360" w:lineRule="auto"/>
              <w:jc w:val="center"/>
            </w:pPr>
            <w:r>
              <w:t>36.1%</w:t>
            </w:r>
          </w:p>
        </w:tc>
        <w:tc>
          <w:tcPr>
            <w:tcW w:w="4080" w:type="dxa"/>
            <w:vAlign w:val="center"/>
          </w:tcPr>
          <w:p w14:paraId="00000464" w14:textId="77777777" w:rsidR="00663CDF" w:rsidRDefault="00F71B39">
            <w:pPr>
              <w:pStyle w:val="Normal0"/>
              <w:spacing w:line="360" w:lineRule="auto"/>
              <w:jc w:val="center"/>
            </w:pPr>
            <w:r>
              <w:t>90.5%</w:t>
            </w:r>
          </w:p>
        </w:tc>
      </w:tr>
      <w:tr w:rsidR="00663CDF" w14:paraId="582B4530" w14:textId="77777777">
        <w:tc>
          <w:tcPr>
            <w:tcW w:w="1063" w:type="dxa"/>
            <w:vAlign w:val="center"/>
          </w:tcPr>
          <w:p w14:paraId="00000465" w14:textId="77777777" w:rsidR="00663CDF" w:rsidRDefault="00F71B39">
            <w:pPr>
              <w:pStyle w:val="Normal0"/>
              <w:spacing w:line="360" w:lineRule="auto"/>
              <w:jc w:val="center"/>
            </w:pPr>
            <w:r>
              <w:t>2022</w:t>
            </w:r>
          </w:p>
        </w:tc>
        <w:tc>
          <w:tcPr>
            <w:tcW w:w="2345" w:type="dxa"/>
            <w:vAlign w:val="center"/>
          </w:tcPr>
          <w:p w14:paraId="00000466" w14:textId="77777777" w:rsidR="00663CDF" w:rsidRDefault="00F71B39">
            <w:pPr>
              <w:pStyle w:val="Normal0"/>
              <w:spacing w:line="360" w:lineRule="auto"/>
              <w:jc w:val="center"/>
            </w:pPr>
            <w:r>
              <w:t>58.0%</w:t>
            </w:r>
          </w:p>
        </w:tc>
        <w:tc>
          <w:tcPr>
            <w:tcW w:w="1340" w:type="dxa"/>
            <w:vAlign w:val="center"/>
          </w:tcPr>
          <w:p w14:paraId="00000467" w14:textId="77777777" w:rsidR="00663CDF" w:rsidRDefault="00F71B39">
            <w:pPr>
              <w:pStyle w:val="Normal0"/>
              <w:spacing w:line="360" w:lineRule="auto"/>
              <w:jc w:val="center"/>
            </w:pPr>
            <w:r>
              <w:t>36.5%</w:t>
            </w:r>
          </w:p>
        </w:tc>
        <w:tc>
          <w:tcPr>
            <w:tcW w:w="4080" w:type="dxa"/>
            <w:vAlign w:val="center"/>
          </w:tcPr>
          <w:p w14:paraId="00000468" w14:textId="77777777" w:rsidR="00663CDF" w:rsidRDefault="00F71B39">
            <w:pPr>
              <w:pStyle w:val="Normal0"/>
              <w:spacing w:line="360" w:lineRule="auto"/>
              <w:jc w:val="center"/>
            </w:pPr>
            <w:r>
              <w:t>91.3%</w:t>
            </w:r>
          </w:p>
        </w:tc>
      </w:tr>
      <w:tr w:rsidR="00663CDF" w14:paraId="4E9BCB17" w14:textId="77777777">
        <w:tc>
          <w:tcPr>
            <w:tcW w:w="1063" w:type="dxa"/>
            <w:vAlign w:val="center"/>
          </w:tcPr>
          <w:p w14:paraId="00000469" w14:textId="77777777" w:rsidR="00663CDF" w:rsidRDefault="00F71B39">
            <w:pPr>
              <w:pStyle w:val="Normal0"/>
              <w:spacing w:line="360" w:lineRule="auto"/>
              <w:jc w:val="center"/>
            </w:pPr>
            <w:r>
              <w:t>2023</w:t>
            </w:r>
          </w:p>
        </w:tc>
        <w:tc>
          <w:tcPr>
            <w:tcW w:w="2345" w:type="dxa"/>
            <w:vAlign w:val="center"/>
          </w:tcPr>
          <w:p w14:paraId="0000046A" w14:textId="77777777" w:rsidR="00663CDF" w:rsidRDefault="00F71B39">
            <w:pPr>
              <w:pStyle w:val="Normal0"/>
              <w:spacing w:line="360" w:lineRule="auto"/>
              <w:jc w:val="center"/>
            </w:pPr>
            <w:r>
              <w:t>61.4%</w:t>
            </w:r>
          </w:p>
        </w:tc>
        <w:tc>
          <w:tcPr>
            <w:tcW w:w="1340" w:type="dxa"/>
            <w:vAlign w:val="center"/>
          </w:tcPr>
          <w:p w14:paraId="0000046B" w14:textId="77777777" w:rsidR="00663CDF" w:rsidRDefault="00F71B39">
            <w:pPr>
              <w:pStyle w:val="Normal0"/>
              <w:spacing w:line="360" w:lineRule="auto"/>
              <w:jc w:val="center"/>
            </w:pPr>
            <w:r>
              <w:t>53.4%</w:t>
            </w:r>
          </w:p>
        </w:tc>
        <w:tc>
          <w:tcPr>
            <w:tcW w:w="4080" w:type="dxa"/>
            <w:vAlign w:val="center"/>
          </w:tcPr>
          <w:p w14:paraId="0000046C" w14:textId="77777777" w:rsidR="00663CDF" w:rsidRDefault="00F71B39">
            <w:pPr>
              <w:pStyle w:val="Normal0"/>
              <w:spacing w:line="360" w:lineRule="auto"/>
              <w:jc w:val="center"/>
            </w:pPr>
            <w:r>
              <w:t>87.4%</w:t>
            </w:r>
          </w:p>
        </w:tc>
      </w:tr>
    </w:tbl>
    <w:p w14:paraId="0000046D" w14:textId="77777777" w:rsidR="00663CDF" w:rsidRDefault="00F71B39">
      <w:pPr>
        <w:pStyle w:val="Normal0"/>
        <w:spacing w:line="360" w:lineRule="auto"/>
        <w:rPr>
          <w:b/>
        </w:rPr>
      </w:pPr>
      <w:r>
        <w:rPr>
          <w:b/>
        </w:rPr>
        <w:t>Fuente: Sistema de Planeación Territorial (SisPT) del Departamento Nacional de Planeación (2024). Elaboración propia.</w:t>
      </w:r>
    </w:p>
    <w:p w14:paraId="0000046E" w14:textId="77777777" w:rsidR="00663CDF" w:rsidRDefault="00663CDF">
      <w:pPr>
        <w:pStyle w:val="Ttulo3"/>
        <w:spacing w:line="360" w:lineRule="auto"/>
      </w:pPr>
      <w:bookmarkStart w:id="57" w:name="_heading=h.w005hn4mrzsb" w:colFirst="0" w:colLast="0"/>
      <w:bookmarkEnd w:id="57"/>
    </w:p>
    <w:p w14:paraId="0000046F" w14:textId="77777777" w:rsidR="00663CDF" w:rsidRDefault="00F71B39">
      <w:pPr>
        <w:pStyle w:val="Ttulo3"/>
        <w:spacing w:line="360" w:lineRule="auto"/>
      </w:pPr>
      <w:bookmarkStart w:id="58" w:name="_heading=h.q0ro8vvvcjlp" w:colFirst="0" w:colLast="0"/>
      <w:bookmarkEnd w:id="58"/>
      <w:r>
        <w:t>4.12. Comparación del NBS del municipio de Turbaco y el municipio de Arjona (2016-2023).</w:t>
      </w:r>
    </w:p>
    <w:p w14:paraId="00000470" w14:textId="77777777" w:rsidR="00663CDF" w:rsidRDefault="00F71B39">
      <w:pPr>
        <w:pStyle w:val="Normal0"/>
        <w:spacing w:line="360" w:lineRule="auto"/>
        <w:ind w:firstLine="708"/>
      </w:pPr>
      <w:r>
        <w:t>Comparar el NBS de Turbaco con el de otros municipios de características similares permite contextualizar su desempeño y comprender los retos específicos que enfrenta en términos de desarrollo social. Para esta comparación, se seleccionó el municipio de Arjona, también ubicado en el departamento de Bolívar, y con condiciones socioeconómicas comparables.</w:t>
      </w:r>
    </w:p>
    <w:p w14:paraId="00000471" w14:textId="77777777" w:rsidR="00663CDF" w:rsidRDefault="00F71B39">
      <w:pPr>
        <w:pStyle w:val="Normal0"/>
        <w:spacing w:line="360" w:lineRule="auto"/>
        <w:ind w:firstLine="708"/>
      </w:pPr>
      <w:r>
        <w:t xml:space="preserve">En 2016, el NBS de Arjona era del 78%, ligeramente inferior al de Turbaco en el mismo año, sin embargo, Arjona logró mejorar su NBS a un 84.5% en 2023, </w:t>
      </w:r>
      <w:r>
        <w:lastRenderedPageBreak/>
        <w:t>un progreso similar al observado en Turbaco. Al igual que en Turbaco, Arjona presenta una disparidad significativa entre las áreas urbanas y rurales. En 2023, el NBS urbano en Arjona alcanzó el 88%, mientras que en las zonas rurales se situó en un 75%, reflejando desafíos comunes en la provisión de servicios básicos en áreas más remotas. La inversión en infraestructura básica, educación y salud ha sido un factor clave para la mejora del NBS en ambos municipios. Sin embargo, las políticas públicas deben seguir enfocadas en cerrar las brechas existentes y garantizar un acceso más equitativo a los servicios básicos.</w:t>
      </w:r>
    </w:p>
    <w:p w14:paraId="00000472" w14:textId="77777777" w:rsidR="00663CDF" w:rsidRDefault="00663CDF">
      <w:pPr>
        <w:pStyle w:val="Normal0"/>
        <w:spacing w:after="160" w:line="360" w:lineRule="auto"/>
      </w:pPr>
    </w:p>
    <w:p w14:paraId="00000473" w14:textId="77777777" w:rsidR="00663CDF" w:rsidRDefault="00F71B39">
      <w:pPr>
        <w:pStyle w:val="Ttulo3"/>
      </w:pPr>
      <w:bookmarkStart w:id="59" w:name="_heading=h.5szzhpvnnpko" w:colFirst="0" w:colLast="0"/>
      <w:bookmarkEnd w:id="59"/>
      <w:r>
        <w:t>4.13. Indicadores de gestión pública y fiscal (2016–2023)</w:t>
      </w:r>
    </w:p>
    <w:p w14:paraId="00000474" w14:textId="77777777" w:rsidR="00663CDF" w:rsidRDefault="00663CDF">
      <w:pPr>
        <w:pStyle w:val="Normal0"/>
      </w:pPr>
    </w:p>
    <w:p w14:paraId="00000475" w14:textId="77777777" w:rsidR="00663CDF" w:rsidRDefault="00F71B39">
      <w:pPr>
        <w:pStyle w:val="Normal0"/>
        <w:spacing w:after="160" w:line="360" w:lineRule="auto"/>
      </w:pPr>
      <w:r>
        <w:t>Con el fin de comprobar de forma objetiva los principales avances y limitaciones en la gestión pública municipal durante el período 2016–2023, a continuación, se presentan algunos indicadores clave para la gestión fiscal, administrativa y social.</w:t>
      </w:r>
    </w:p>
    <w:p w14:paraId="00000476" w14:textId="77777777" w:rsidR="00663CDF" w:rsidRDefault="00F71B39">
      <w:pPr>
        <w:pStyle w:val="Normal0"/>
        <w:pBdr>
          <w:top w:val="nil"/>
          <w:left w:val="nil"/>
          <w:bottom w:val="nil"/>
          <w:right w:val="nil"/>
          <w:between w:val="nil"/>
        </w:pBdr>
        <w:spacing w:after="160"/>
        <w:rPr>
          <w:b/>
          <w:color w:val="000000"/>
        </w:rPr>
      </w:pPr>
      <w:bookmarkStart w:id="60" w:name="_heading=h.boh0gm3pyq2x" w:colFirst="0" w:colLast="0"/>
      <w:bookmarkEnd w:id="60"/>
      <w:r>
        <w:rPr>
          <w:b/>
          <w:color w:val="000000"/>
        </w:rPr>
        <w:t>Tabla 13. Indicadores de Gestión Pública del Municipio de Turbaco (2016–2023)</w:t>
      </w:r>
    </w:p>
    <w:tbl>
      <w:tblPr>
        <w:tblStyle w:val="ac"/>
        <w:tblW w:w="8828"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636"/>
        <w:gridCol w:w="2281"/>
        <w:gridCol w:w="1637"/>
        <w:gridCol w:w="1637"/>
        <w:gridCol w:w="1637"/>
      </w:tblGrid>
      <w:tr w:rsidR="00663CDF" w14:paraId="580DDE19" w14:textId="77777777">
        <w:trPr>
          <w:trHeight w:val="645"/>
        </w:trPr>
        <w:tc>
          <w:tcPr>
            <w:tcW w:w="1636" w:type="dxa"/>
            <w:vAlign w:val="center"/>
          </w:tcPr>
          <w:p w14:paraId="00000477" w14:textId="77777777" w:rsidR="00663CDF" w:rsidRDefault="00F71B39">
            <w:pPr>
              <w:pStyle w:val="Normal0"/>
              <w:jc w:val="center"/>
              <w:rPr>
                <w:b/>
                <w:sz w:val="22"/>
                <w:szCs w:val="22"/>
              </w:rPr>
            </w:pPr>
            <w:r>
              <w:rPr>
                <w:b/>
                <w:sz w:val="22"/>
                <w:szCs w:val="22"/>
              </w:rPr>
              <w:t>Año</w:t>
            </w:r>
          </w:p>
        </w:tc>
        <w:tc>
          <w:tcPr>
            <w:tcW w:w="2281" w:type="dxa"/>
            <w:vAlign w:val="center"/>
          </w:tcPr>
          <w:p w14:paraId="00000478" w14:textId="77777777" w:rsidR="00663CDF" w:rsidRDefault="00F71B39">
            <w:pPr>
              <w:pStyle w:val="Normal0"/>
              <w:jc w:val="center"/>
              <w:rPr>
                <w:b/>
                <w:sz w:val="22"/>
                <w:szCs w:val="22"/>
              </w:rPr>
            </w:pPr>
            <w:r>
              <w:rPr>
                <w:b/>
                <w:sz w:val="22"/>
                <w:szCs w:val="22"/>
              </w:rPr>
              <w:t xml:space="preserve">Gasto funcionamiento </w:t>
            </w:r>
            <w:proofErr w:type="gramStart"/>
            <w:r>
              <w:rPr>
                <w:b/>
                <w:sz w:val="22"/>
                <w:szCs w:val="22"/>
              </w:rPr>
              <w:t>ICLD(</w:t>
            </w:r>
            <w:proofErr w:type="gramEnd"/>
            <w:r>
              <w:rPr>
                <w:b/>
                <w:sz w:val="22"/>
                <w:szCs w:val="22"/>
              </w:rPr>
              <w:t>%)</w:t>
            </w:r>
          </w:p>
        </w:tc>
        <w:tc>
          <w:tcPr>
            <w:tcW w:w="1637" w:type="dxa"/>
            <w:vAlign w:val="center"/>
          </w:tcPr>
          <w:p w14:paraId="00000479" w14:textId="77777777" w:rsidR="00663CDF" w:rsidRDefault="00F71B39">
            <w:pPr>
              <w:pStyle w:val="Normal0"/>
              <w:jc w:val="center"/>
              <w:rPr>
                <w:b/>
                <w:sz w:val="22"/>
                <w:szCs w:val="22"/>
              </w:rPr>
            </w:pPr>
            <w:r>
              <w:rPr>
                <w:b/>
                <w:sz w:val="22"/>
                <w:szCs w:val="22"/>
              </w:rPr>
              <w:t>IPU(Millones)</w:t>
            </w:r>
          </w:p>
        </w:tc>
        <w:tc>
          <w:tcPr>
            <w:tcW w:w="1637" w:type="dxa"/>
            <w:vAlign w:val="center"/>
          </w:tcPr>
          <w:p w14:paraId="0000047A" w14:textId="77777777" w:rsidR="00663CDF" w:rsidRDefault="00F71B39">
            <w:pPr>
              <w:pStyle w:val="Normal0"/>
              <w:jc w:val="center"/>
              <w:rPr>
                <w:b/>
                <w:sz w:val="22"/>
                <w:szCs w:val="22"/>
              </w:rPr>
            </w:pPr>
            <w:r>
              <w:rPr>
                <w:b/>
                <w:sz w:val="22"/>
                <w:szCs w:val="22"/>
              </w:rPr>
              <w:t>ICA(Millones)</w:t>
            </w:r>
          </w:p>
        </w:tc>
        <w:tc>
          <w:tcPr>
            <w:tcW w:w="1637" w:type="dxa"/>
            <w:vAlign w:val="center"/>
          </w:tcPr>
          <w:p w14:paraId="0000047B" w14:textId="77777777" w:rsidR="00663CDF" w:rsidRDefault="00F71B39">
            <w:pPr>
              <w:pStyle w:val="Normal0"/>
              <w:jc w:val="center"/>
              <w:rPr>
                <w:b/>
                <w:sz w:val="22"/>
                <w:szCs w:val="22"/>
              </w:rPr>
            </w:pPr>
            <w:r>
              <w:rPr>
                <w:b/>
                <w:sz w:val="22"/>
                <w:szCs w:val="22"/>
              </w:rPr>
              <w:t xml:space="preserve">Cobertura </w:t>
            </w:r>
            <w:proofErr w:type="gramStart"/>
            <w:r>
              <w:rPr>
                <w:b/>
                <w:sz w:val="22"/>
                <w:szCs w:val="22"/>
              </w:rPr>
              <w:t>Salud(</w:t>
            </w:r>
            <w:proofErr w:type="gramEnd"/>
            <w:r>
              <w:rPr>
                <w:b/>
                <w:sz w:val="22"/>
                <w:szCs w:val="22"/>
              </w:rPr>
              <w:t>%)</w:t>
            </w:r>
          </w:p>
        </w:tc>
      </w:tr>
      <w:tr w:rsidR="00663CDF" w14:paraId="25F495D0" w14:textId="77777777">
        <w:trPr>
          <w:trHeight w:val="645"/>
        </w:trPr>
        <w:tc>
          <w:tcPr>
            <w:tcW w:w="1636" w:type="dxa"/>
            <w:vAlign w:val="center"/>
          </w:tcPr>
          <w:p w14:paraId="0000047C" w14:textId="77777777" w:rsidR="00663CDF" w:rsidRDefault="00F71B39">
            <w:pPr>
              <w:pStyle w:val="Normal0"/>
              <w:jc w:val="center"/>
              <w:rPr>
                <w:b/>
                <w:sz w:val="22"/>
                <w:szCs w:val="22"/>
              </w:rPr>
            </w:pPr>
            <w:r>
              <w:rPr>
                <w:b/>
                <w:sz w:val="22"/>
                <w:szCs w:val="22"/>
              </w:rPr>
              <w:t>2016</w:t>
            </w:r>
          </w:p>
        </w:tc>
        <w:tc>
          <w:tcPr>
            <w:tcW w:w="2281" w:type="dxa"/>
            <w:vAlign w:val="center"/>
          </w:tcPr>
          <w:p w14:paraId="0000047D" w14:textId="77777777" w:rsidR="00663CDF" w:rsidRDefault="00F71B39">
            <w:pPr>
              <w:pStyle w:val="Normal0"/>
              <w:jc w:val="center"/>
              <w:rPr>
                <w:sz w:val="22"/>
                <w:szCs w:val="22"/>
              </w:rPr>
            </w:pPr>
            <w:r>
              <w:rPr>
                <w:sz w:val="22"/>
                <w:szCs w:val="22"/>
              </w:rPr>
              <w:t>80</w:t>
            </w:r>
          </w:p>
        </w:tc>
        <w:tc>
          <w:tcPr>
            <w:tcW w:w="1637" w:type="dxa"/>
            <w:vAlign w:val="center"/>
          </w:tcPr>
          <w:p w14:paraId="0000047E" w14:textId="77777777" w:rsidR="00663CDF" w:rsidRDefault="00F71B39">
            <w:pPr>
              <w:pStyle w:val="Normal0"/>
              <w:jc w:val="center"/>
              <w:rPr>
                <w:sz w:val="22"/>
                <w:szCs w:val="22"/>
              </w:rPr>
            </w:pPr>
            <w:r>
              <w:rPr>
                <w:sz w:val="22"/>
                <w:szCs w:val="22"/>
              </w:rPr>
              <w:t>2447</w:t>
            </w:r>
          </w:p>
        </w:tc>
        <w:tc>
          <w:tcPr>
            <w:tcW w:w="1637" w:type="dxa"/>
            <w:vAlign w:val="center"/>
          </w:tcPr>
          <w:p w14:paraId="0000047F" w14:textId="77777777" w:rsidR="00663CDF" w:rsidRDefault="00F71B39">
            <w:pPr>
              <w:pStyle w:val="Normal0"/>
              <w:jc w:val="center"/>
              <w:rPr>
                <w:sz w:val="22"/>
                <w:szCs w:val="22"/>
              </w:rPr>
            </w:pPr>
            <w:r>
              <w:rPr>
                <w:sz w:val="22"/>
                <w:szCs w:val="22"/>
              </w:rPr>
              <w:t>5257</w:t>
            </w:r>
          </w:p>
        </w:tc>
        <w:tc>
          <w:tcPr>
            <w:tcW w:w="1637" w:type="dxa"/>
            <w:vAlign w:val="center"/>
          </w:tcPr>
          <w:p w14:paraId="00000480" w14:textId="77777777" w:rsidR="00663CDF" w:rsidRDefault="00F71B39">
            <w:pPr>
              <w:pStyle w:val="Normal0"/>
              <w:jc w:val="center"/>
              <w:rPr>
                <w:sz w:val="22"/>
                <w:szCs w:val="22"/>
              </w:rPr>
            </w:pPr>
            <w:r>
              <w:rPr>
                <w:sz w:val="22"/>
                <w:szCs w:val="22"/>
              </w:rPr>
              <w:t>36.5</w:t>
            </w:r>
          </w:p>
        </w:tc>
      </w:tr>
      <w:tr w:rsidR="00663CDF" w14:paraId="6FE357EC" w14:textId="77777777">
        <w:trPr>
          <w:trHeight w:val="645"/>
        </w:trPr>
        <w:tc>
          <w:tcPr>
            <w:tcW w:w="1636" w:type="dxa"/>
            <w:vAlign w:val="center"/>
          </w:tcPr>
          <w:p w14:paraId="00000481" w14:textId="77777777" w:rsidR="00663CDF" w:rsidRDefault="00F71B39">
            <w:pPr>
              <w:pStyle w:val="Normal0"/>
              <w:jc w:val="center"/>
              <w:rPr>
                <w:b/>
                <w:sz w:val="22"/>
                <w:szCs w:val="22"/>
              </w:rPr>
            </w:pPr>
            <w:r>
              <w:rPr>
                <w:b/>
                <w:sz w:val="22"/>
                <w:szCs w:val="22"/>
              </w:rPr>
              <w:t>2017</w:t>
            </w:r>
          </w:p>
        </w:tc>
        <w:tc>
          <w:tcPr>
            <w:tcW w:w="2281" w:type="dxa"/>
            <w:vAlign w:val="center"/>
          </w:tcPr>
          <w:p w14:paraId="00000482" w14:textId="77777777" w:rsidR="00663CDF" w:rsidRDefault="00F71B39">
            <w:pPr>
              <w:pStyle w:val="Normal0"/>
              <w:jc w:val="center"/>
              <w:rPr>
                <w:sz w:val="22"/>
                <w:szCs w:val="22"/>
              </w:rPr>
            </w:pPr>
            <w:r>
              <w:rPr>
                <w:sz w:val="22"/>
                <w:szCs w:val="22"/>
              </w:rPr>
              <w:t>78</w:t>
            </w:r>
          </w:p>
        </w:tc>
        <w:tc>
          <w:tcPr>
            <w:tcW w:w="1637" w:type="dxa"/>
            <w:vAlign w:val="center"/>
          </w:tcPr>
          <w:p w14:paraId="00000483" w14:textId="77777777" w:rsidR="00663CDF" w:rsidRDefault="00F71B39">
            <w:pPr>
              <w:pStyle w:val="Normal0"/>
              <w:jc w:val="center"/>
              <w:rPr>
                <w:sz w:val="22"/>
                <w:szCs w:val="22"/>
              </w:rPr>
            </w:pPr>
            <w:r>
              <w:rPr>
                <w:sz w:val="22"/>
                <w:szCs w:val="22"/>
              </w:rPr>
              <w:t>3000</w:t>
            </w:r>
          </w:p>
        </w:tc>
        <w:tc>
          <w:tcPr>
            <w:tcW w:w="1637" w:type="dxa"/>
            <w:vAlign w:val="center"/>
          </w:tcPr>
          <w:p w14:paraId="00000484" w14:textId="77777777" w:rsidR="00663CDF" w:rsidRDefault="00F71B39">
            <w:pPr>
              <w:pStyle w:val="Normal0"/>
              <w:jc w:val="center"/>
              <w:rPr>
                <w:sz w:val="22"/>
                <w:szCs w:val="22"/>
              </w:rPr>
            </w:pPr>
            <w:r>
              <w:rPr>
                <w:sz w:val="22"/>
                <w:szCs w:val="22"/>
              </w:rPr>
              <w:t>6000</w:t>
            </w:r>
          </w:p>
        </w:tc>
        <w:tc>
          <w:tcPr>
            <w:tcW w:w="1637" w:type="dxa"/>
            <w:vAlign w:val="center"/>
          </w:tcPr>
          <w:p w14:paraId="00000485" w14:textId="77777777" w:rsidR="00663CDF" w:rsidRDefault="00F71B39">
            <w:pPr>
              <w:pStyle w:val="Normal0"/>
              <w:jc w:val="center"/>
              <w:rPr>
                <w:sz w:val="22"/>
                <w:szCs w:val="22"/>
              </w:rPr>
            </w:pPr>
            <w:r>
              <w:rPr>
                <w:sz w:val="22"/>
                <w:szCs w:val="22"/>
              </w:rPr>
              <w:t>40.0</w:t>
            </w:r>
          </w:p>
        </w:tc>
      </w:tr>
      <w:tr w:rsidR="00663CDF" w14:paraId="03F3E68E" w14:textId="77777777">
        <w:trPr>
          <w:trHeight w:val="645"/>
        </w:trPr>
        <w:tc>
          <w:tcPr>
            <w:tcW w:w="1636" w:type="dxa"/>
            <w:vAlign w:val="center"/>
          </w:tcPr>
          <w:p w14:paraId="00000486" w14:textId="77777777" w:rsidR="00663CDF" w:rsidRDefault="00F71B39">
            <w:pPr>
              <w:pStyle w:val="Normal0"/>
              <w:jc w:val="center"/>
              <w:rPr>
                <w:b/>
                <w:sz w:val="22"/>
                <w:szCs w:val="22"/>
              </w:rPr>
            </w:pPr>
            <w:r>
              <w:rPr>
                <w:b/>
                <w:sz w:val="22"/>
                <w:szCs w:val="22"/>
              </w:rPr>
              <w:t>2018</w:t>
            </w:r>
          </w:p>
        </w:tc>
        <w:tc>
          <w:tcPr>
            <w:tcW w:w="2281" w:type="dxa"/>
            <w:vAlign w:val="center"/>
          </w:tcPr>
          <w:p w14:paraId="00000487" w14:textId="77777777" w:rsidR="00663CDF" w:rsidRDefault="00F71B39">
            <w:pPr>
              <w:pStyle w:val="Normal0"/>
              <w:jc w:val="center"/>
              <w:rPr>
                <w:sz w:val="22"/>
                <w:szCs w:val="22"/>
              </w:rPr>
            </w:pPr>
            <w:r>
              <w:rPr>
                <w:sz w:val="22"/>
                <w:szCs w:val="22"/>
              </w:rPr>
              <w:t>75</w:t>
            </w:r>
          </w:p>
        </w:tc>
        <w:tc>
          <w:tcPr>
            <w:tcW w:w="1637" w:type="dxa"/>
            <w:vAlign w:val="center"/>
          </w:tcPr>
          <w:p w14:paraId="00000488" w14:textId="77777777" w:rsidR="00663CDF" w:rsidRDefault="00F71B39">
            <w:pPr>
              <w:pStyle w:val="Normal0"/>
              <w:jc w:val="center"/>
              <w:rPr>
                <w:sz w:val="22"/>
                <w:szCs w:val="22"/>
              </w:rPr>
            </w:pPr>
            <w:r>
              <w:rPr>
                <w:sz w:val="22"/>
                <w:szCs w:val="22"/>
              </w:rPr>
              <w:t>4500</w:t>
            </w:r>
          </w:p>
        </w:tc>
        <w:tc>
          <w:tcPr>
            <w:tcW w:w="1637" w:type="dxa"/>
            <w:vAlign w:val="center"/>
          </w:tcPr>
          <w:p w14:paraId="00000489" w14:textId="77777777" w:rsidR="00663CDF" w:rsidRDefault="00F71B39">
            <w:pPr>
              <w:pStyle w:val="Normal0"/>
              <w:jc w:val="center"/>
              <w:rPr>
                <w:sz w:val="22"/>
                <w:szCs w:val="22"/>
              </w:rPr>
            </w:pPr>
            <w:r>
              <w:rPr>
                <w:sz w:val="22"/>
                <w:szCs w:val="22"/>
              </w:rPr>
              <w:t>8500</w:t>
            </w:r>
          </w:p>
        </w:tc>
        <w:tc>
          <w:tcPr>
            <w:tcW w:w="1637" w:type="dxa"/>
            <w:vAlign w:val="center"/>
          </w:tcPr>
          <w:p w14:paraId="0000048A" w14:textId="77777777" w:rsidR="00663CDF" w:rsidRDefault="00F71B39">
            <w:pPr>
              <w:pStyle w:val="Normal0"/>
              <w:jc w:val="center"/>
              <w:rPr>
                <w:sz w:val="22"/>
                <w:szCs w:val="22"/>
              </w:rPr>
            </w:pPr>
            <w:r>
              <w:rPr>
                <w:sz w:val="22"/>
                <w:szCs w:val="22"/>
              </w:rPr>
              <w:t>44.0</w:t>
            </w:r>
          </w:p>
        </w:tc>
      </w:tr>
      <w:tr w:rsidR="00663CDF" w14:paraId="4349CEC4" w14:textId="77777777">
        <w:trPr>
          <w:trHeight w:val="645"/>
        </w:trPr>
        <w:tc>
          <w:tcPr>
            <w:tcW w:w="1636" w:type="dxa"/>
            <w:vAlign w:val="center"/>
          </w:tcPr>
          <w:p w14:paraId="0000048B" w14:textId="77777777" w:rsidR="00663CDF" w:rsidRDefault="00F71B39">
            <w:pPr>
              <w:pStyle w:val="Normal0"/>
              <w:jc w:val="center"/>
              <w:rPr>
                <w:b/>
                <w:sz w:val="22"/>
                <w:szCs w:val="22"/>
              </w:rPr>
            </w:pPr>
            <w:r>
              <w:rPr>
                <w:b/>
                <w:sz w:val="22"/>
                <w:szCs w:val="22"/>
              </w:rPr>
              <w:t>2019</w:t>
            </w:r>
          </w:p>
        </w:tc>
        <w:tc>
          <w:tcPr>
            <w:tcW w:w="2281" w:type="dxa"/>
            <w:vAlign w:val="center"/>
          </w:tcPr>
          <w:p w14:paraId="0000048C" w14:textId="77777777" w:rsidR="00663CDF" w:rsidRDefault="00F71B39">
            <w:pPr>
              <w:pStyle w:val="Normal0"/>
              <w:jc w:val="center"/>
              <w:rPr>
                <w:sz w:val="22"/>
                <w:szCs w:val="22"/>
              </w:rPr>
            </w:pPr>
            <w:r>
              <w:rPr>
                <w:sz w:val="22"/>
                <w:szCs w:val="22"/>
              </w:rPr>
              <w:t>70</w:t>
            </w:r>
          </w:p>
        </w:tc>
        <w:tc>
          <w:tcPr>
            <w:tcW w:w="1637" w:type="dxa"/>
            <w:vAlign w:val="center"/>
          </w:tcPr>
          <w:p w14:paraId="0000048D" w14:textId="77777777" w:rsidR="00663CDF" w:rsidRDefault="00F71B39">
            <w:pPr>
              <w:pStyle w:val="Normal0"/>
              <w:jc w:val="center"/>
              <w:rPr>
                <w:sz w:val="22"/>
                <w:szCs w:val="22"/>
              </w:rPr>
            </w:pPr>
            <w:r>
              <w:rPr>
                <w:sz w:val="22"/>
                <w:szCs w:val="22"/>
              </w:rPr>
              <w:t>6000</w:t>
            </w:r>
          </w:p>
        </w:tc>
        <w:tc>
          <w:tcPr>
            <w:tcW w:w="1637" w:type="dxa"/>
            <w:vAlign w:val="center"/>
          </w:tcPr>
          <w:p w14:paraId="0000048E" w14:textId="77777777" w:rsidR="00663CDF" w:rsidRDefault="00F71B39">
            <w:pPr>
              <w:pStyle w:val="Normal0"/>
              <w:jc w:val="center"/>
              <w:rPr>
                <w:sz w:val="22"/>
                <w:szCs w:val="22"/>
              </w:rPr>
            </w:pPr>
            <w:r>
              <w:rPr>
                <w:sz w:val="22"/>
                <w:szCs w:val="22"/>
              </w:rPr>
              <w:t>10000</w:t>
            </w:r>
          </w:p>
        </w:tc>
        <w:tc>
          <w:tcPr>
            <w:tcW w:w="1637" w:type="dxa"/>
            <w:vAlign w:val="center"/>
          </w:tcPr>
          <w:p w14:paraId="0000048F" w14:textId="77777777" w:rsidR="00663CDF" w:rsidRDefault="00F71B39">
            <w:pPr>
              <w:pStyle w:val="Normal0"/>
              <w:jc w:val="center"/>
              <w:rPr>
                <w:sz w:val="22"/>
                <w:szCs w:val="22"/>
              </w:rPr>
            </w:pPr>
            <w:r>
              <w:rPr>
                <w:sz w:val="22"/>
                <w:szCs w:val="22"/>
              </w:rPr>
              <w:t>47.0</w:t>
            </w:r>
          </w:p>
        </w:tc>
      </w:tr>
      <w:tr w:rsidR="00663CDF" w14:paraId="6041E9C0" w14:textId="77777777">
        <w:trPr>
          <w:trHeight w:val="645"/>
        </w:trPr>
        <w:tc>
          <w:tcPr>
            <w:tcW w:w="1636" w:type="dxa"/>
            <w:vAlign w:val="center"/>
          </w:tcPr>
          <w:p w14:paraId="00000490" w14:textId="77777777" w:rsidR="00663CDF" w:rsidRDefault="00F71B39">
            <w:pPr>
              <w:pStyle w:val="Normal0"/>
              <w:jc w:val="center"/>
              <w:rPr>
                <w:b/>
                <w:sz w:val="22"/>
                <w:szCs w:val="22"/>
              </w:rPr>
            </w:pPr>
            <w:r>
              <w:rPr>
                <w:b/>
                <w:sz w:val="22"/>
                <w:szCs w:val="22"/>
              </w:rPr>
              <w:t>2020</w:t>
            </w:r>
          </w:p>
        </w:tc>
        <w:tc>
          <w:tcPr>
            <w:tcW w:w="2281" w:type="dxa"/>
            <w:vAlign w:val="center"/>
          </w:tcPr>
          <w:p w14:paraId="00000491" w14:textId="77777777" w:rsidR="00663CDF" w:rsidRDefault="00F71B39">
            <w:pPr>
              <w:pStyle w:val="Normal0"/>
              <w:jc w:val="center"/>
              <w:rPr>
                <w:sz w:val="22"/>
                <w:szCs w:val="22"/>
              </w:rPr>
            </w:pPr>
            <w:r>
              <w:rPr>
                <w:sz w:val="22"/>
                <w:szCs w:val="22"/>
              </w:rPr>
              <w:t>68</w:t>
            </w:r>
          </w:p>
        </w:tc>
        <w:tc>
          <w:tcPr>
            <w:tcW w:w="1637" w:type="dxa"/>
            <w:vAlign w:val="center"/>
          </w:tcPr>
          <w:p w14:paraId="00000492" w14:textId="77777777" w:rsidR="00663CDF" w:rsidRDefault="00F71B39">
            <w:pPr>
              <w:pStyle w:val="Normal0"/>
              <w:jc w:val="center"/>
              <w:rPr>
                <w:sz w:val="22"/>
                <w:szCs w:val="22"/>
              </w:rPr>
            </w:pPr>
            <w:r>
              <w:rPr>
                <w:sz w:val="22"/>
                <w:szCs w:val="22"/>
              </w:rPr>
              <w:t>7800</w:t>
            </w:r>
          </w:p>
        </w:tc>
        <w:tc>
          <w:tcPr>
            <w:tcW w:w="1637" w:type="dxa"/>
            <w:vAlign w:val="center"/>
          </w:tcPr>
          <w:p w14:paraId="00000493" w14:textId="77777777" w:rsidR="00663CDF" w:rsidRDefault="00F71B39">
            <w:pPr>
              <w:pStyle w:val="Normal0"/>
              <w:jc w:val="center"/>
              <w:rPr>
                <w:sz w:val="22"/>
                <w:szCs w:val="22"/>
              </w:rPr>
            </w:pPr>
            <w:r>
              <w:rPr>
                <w:sz w:val="22"/>
                <w:szCs w:val="22"/>
              </w:rPr>
              <w:t>12000</w:t>
            </w:r>
          </w:p>
        </w:tc>
        <w:tc>
          <w:tcPr>
            <w:tcW w:w="1637" w:type="dxa"/>
            <w:vAlign w:val="center"/>
          </w:tcPr>
          <w:p w14:paraId="00000494" w14:textId="77777777" w:rsidR="00663CDF" w:rsidRDefault="00F71B39">
            <w:pPr>
              <w:pStyle w:val="Normal0"/>
              <w:jc w:val="center"/>
              <w:rPr>
                <w:sz w:val="22"/>
                <w:szCs w:val="22"/>
              </w:rPr>
            </w:pPr>
            <w:r>
              <w:rPr>
                <w:sz w:val="22"/>
                <w:szCs w:val="22"/>
              </w:rPr>
              <w:t>50.0</w:t>
            </w:r>
          </w:p>
        </w:tc>
      </w:tr>
      <w:tr w:rsidR="00663CDF" w14:paraId="728E4318" w14:textId="77777777">
        <w:trPr>
          <w:trHeight w:val="645"/>
        </w:trPr>
        <w:tc>
          <w:tcPr>
            <w:tcW w:w="1636" w:type="dxa"/>
            <w:vAlign w:val="center"/>
          </w:tcPr>
          <w:p w14:paraId="00000495" w14:textId="77777777" w:rsidR="00663CDF" w:rsidRDefault="00F71B39">
            <w:pPr>
              <w:pStyle w:val="Normal0"/>
              <w:jc w:val="center"/>
              <w:rPr>
                <w:b/>
                <w:sz w:val="22"/>
                <w:szCs w:val="22"/>
              </w:rPr>
            </w:pPr>
            <w:r>
              <w:rPr>
                <w:b/>
                <w:sz w:val="22"/>
                <w:szCs w:val="22"/>
              </w:rPr>
              <w:t>2021</w:t>
            </w:r>
          </w:p>
        </w:tc>
        <w:tc>
          <w:tcPr>
            <w:tcW w:w="2281" w:type="dxa"/>
            <w:vAlign w:val="center"/>
          </w:tcPr>
          <w:p w14:paraId="00000496" w14:textId="77777777" w:rsidR="00663CDF" w:rsidRDefault="00F71B39">
            <w:pPr>
              <w:pStyle w:val="Normal0"/>
              <w:jc w:val="center"/>
              <w:rPr>
                <w:sz w:val="22"/>
                <w:szCs w:val="22"/>
              </w:rPr>
            </w:pPr>
            <w:r>
              <w:rPr>
                <w:sz w:val="22"/>
                <w:szCs w:val="22"/>
              </w:rPr>
              <w:t>65</w:t>
            </w:r>
          </w:p>
        </w:tc>
        <w:tc>
          <w:tcPr>
            <w:tcW w:w="1637" w:type="dxa"/>
            <w:vAlign w:val="center"/>
          </w:tcPr>
          <w:p w14:paraId="00000497" w14:textId="77777777" w:rsidR="00663CDF" w:rsidRDefault="00F71B39">
            <w:pPr>
              <w:pStyle w:val="Normal0"/>
              <w:jc w:val="center"/>
              <w:rPr>
                <w:sz w:val="22"/>
                <w:szCs w:val="22"/>
              </w:rPr>
            </w:pPr>
            <w:r>
              <w:rPr>
                <w:sz w:val="22"/>
                <w:szCs w:val="22"/>
              </w:rPr>
              <w:t>9500</w:t>
            </w:r>
          </w:p>
        </w:tc>
        <w:tc>
          <w:tcPr>
            <w:tcW w:w="1637" w:type="dxa"/>
            <w:vAlign w:val="center"/>
          </w:tcPr>
          <w:p w14:paraId="00000498" w14:textId="77777777" w:rsidR="00663CDF" w:rsidRDefault="00F71B39">
            <w:pPr>
              <w:pStyle w:val="Normal0"/>
              <w:jc w:val="center"/>
              <w:rPr>
                <w:sz w:val="22"/>
                <w:szCs w:val="22"/>
              </w:rPr>
            </w:pPr>
            <w:r>
              <w:rPr>
                <w:sz w:val="22"/>
                <w:szCs w:val="22"/>
              </w:rPr>
              <w:t>14000</w:t>
            </w:r>
          </w:p>
        </w:tc>
        <w:tc>
          <w:tcPr>
            <w:tcW w:w="1637" w:type="dxa"/>
            <w:vAlign w:val="center"/>
          </w:tcPr>
          <w:p w14:paraId="00000499" w14:textId="77777777" w:rsidR="00663CDF" w:rsidRDefault="00F71B39">
            <w:pPr>
              <w:pStyle w:val="Normal0"/>
              <w:jc w:val="center"/>
              <w:rPr>
                <w:sz w:val="22"/>
                <w:szCs w:val="22"/>
              </w:rPr>
            </w:pPr>
            <w:r>
              <w:rPr>
                <w:sz w:val="22"/>
                <w:szCs w:val="22"/>
              </w:rPr>
              <w:t>51.5</w:t>
            </w:r>
          </w:p>
        </w:tc>
      </w:tr>
      <w:tr w:rsidR="00663CDF" w14:paraId="179063E8" w14:textId="77777777">
        <w:trPr>
          <w:trHeight w:val="645"/>
        </w:trPr>
        <w:tc>
          <w:tcPr>
            <w:tcW w:w="1636" w:type="dxa"/>
            <w:vAlign w:val="center"/>
          </w:tcPr>
          <w:p w14:paraId="0000049A" w14:textId="77777777" w:rsidR="00663CDF" w:rsidRDefault="00F71B39">
            <w:pPr>
              <w:pStyle w:val="Normal0"/>
              <w:jc w:val="center"/>
              <w:rPr>
                <w:b/>
                <w:sz w:val="22"/>
                <w:szCs w:val="22"/>
              </w:rPr>
            </w:pPr>
            <w:r>
              <w:rPr>
                <w:b/>
                <w:sz w:val="22"/>
                <w:szCs w:val="22"/>
              </w:rPr>
              <w:t>2022</w:t>
            </w:r>
          </w:p>
        </w:tc>
        <w:tc>
          <w:tcPr>
            <w:tcW w:w="2281" w:type="dxa"/>
            <w:vAlign w:val="center"/>
          </w:tcPr>
          <w:p w14:paraId="0000049B" w14:textId="77777777" w:rsidR="00663CDF" w:rsidRDefault="00F71B39">
            <w:pPr>
              <w:pStyle w:val="Normal0"/>
              <w:jc w:val="center"/>
              <w:rPr>
                <w:sz w:val="22"/>
                <w:szCs w:val="22"/>
              </w:rPr>
            </w:pPr>
            <w:r>
              <w:rPr>
                <w:sz w:val="22"/>
                <w:szCs w:val="22"/>
              </w:rPr>
              <w:t>63</w:t>
            </w:r>
          </w:p>
        </w:tc>
        <w:tc>
          <w:tcPr>
            <w:tcW w:w="1637" w:type="dxa"/>
            <w:vAlign w:val="center"/>
          </w:tcPr>
          <w:p w14:paraId="0000049C" w14:textId="77777777" w:rsidR="00663CDF" w:rsidRDefault="00F71B39">
            <w:pPr>
              <w:pStyle w:val="Normal0"/>
              <w:jc w:val="center"/>
              <w:rPr>
                <w:sz w:val="22"/>
                <w:szCs w:val="22"/>
              </w:rPr>
            </w:pPr>
            <w:r>
              <w:rPr>
                <w:sz w:val="22"/>
                <w:szCs w:val="22"/>
              </w:rPr>
              <w:t>11000</w:t>
            </w:r>
          </w:p>
        </w:tc>
        <w:tc>
          <w:tcPr>
            <w:tcW w:w="1637" w:type="dxa"/>
            <w:vAlign w:val="center"/>
          </w:tcPr>
          <w:p w14:paraId="0000049D" w14:textId="77777777" w:rsidR="00663CDF" w:rsidRDefault="00F71B39">
            <w:pPr>
              <w:pStyle w:val="Normal0"/>
              <w:jc w:val="center"/>
              <w:rPr>
                <w:sz w:val="22"/>
                <w:szCs w:val="22"/>
              </w:rPr>
            </w:pPr>
            <w:r>
              <w:rPr>
                <w:sz w:val="22"/>
                <w:szCs w:val="22"/>
              </w:rPr>
              <w:t>16000</w:t>
            </w:r>
          </w:p>
        </w:tc>
        <w:tc>
          <w:tcPr>
            <w:tcW w:w="1637" w:type="dxa"/>
            <w:vAlign w:val="center"/>
          </w:tcPr>
          <w:p w14:paraId="0000049E" w14:textId="77777777" w:rsidR="00663CDF" w:rsidRDefault="00F71B39">
            <w:pPr>
              <w:pStyle w:val="Normal0"/>
              <w:jc w:val="center"/>
              <w:rPr>
                <w:sz w:val="22"/>
                <w:szCs w:val="22"/>
              </w:rPr>
            </w:pPr>
            <w:r>
              <w:rPr>
                <w:sz w:val="22"/>
                <w:szCs w:val="22"/>
              </w:rPr>
              <w:t>52.5</w:t>
            </w:r>
          </w:p>
        </w:tc>
      </w:tr>
      <w:tr w:rsidR="00663CDF" w14:paraId="2CA9B4A8" w14:textId="77777777">
        <w:trPr>
          <w:trHeight w:val="645"/>
        </w:trPr>
        <w:tc>
          <w:tcPr>
            <w:tcW w:w="1636" w:type="dxa"/>
            <w:vAlign w:val="center"/>
          </w:tcPr>
          <w:p w14:paraId="0000049F" w14:textId="77777777" w:rsidR="00663CDF" w:rsidRDefault="00F71B39">
            <w:pPr>
              <w:pStyle w:val="Normal0"/>
              <w:jc w:val="center"/>
              <w:rPr>
                <w:b/>
                <w:sz w:val="22"/>
                <w:szCs w:val="22"/>
              </w:rPr>
            </w:pPr>
            <w:r>
              <w:rPr>
                <w:b/>
                <w:sz w:val="22"/>
                <w:szCs w:val="22"/>
              </w:rPr>
              <w:lastRenderedPageBreak/>
              <w:t>2023</w:t>
            </w:r>
          </w:p>
        </w:tc>
        <w:tc>
          <w:tcPr>
            <w:tcW w:w="2281" w:type="dxa"/>
            <w:vAlign w:val="center"/>
          </w:tcPr>
          <w:p w14:paraId="000004A0" w14:textId="77777777" w:rsidR="00663CDF" w:rsidRDefault="00F71B39">
            <w:pPr>
              <w:pStyle w:val="Normal0"/>
              <w:jc w:val="center"/>
              <w:rPr>
                <w:sz w:val="22"/>
                <w:szCs w:val="22"/>
              </w:rPr>
            </w:pPr>
            <w:r>
              <w:rPr>
                <w:sz w:val="22"/>
                <w:szCs w:val="22"/>
              </w:rPr>
              <w:t>61</w:t>
            </w:r>
          </w:p>
        </w:tc>
        <w:tc>
          <w:tcPr>
            <w:tcW w:w="1637" w:type="dxa"/>
            <w:vAlign w:val="center"/>
          </w:tcPr>
          <w:p w14:paraId="000004A1" w14:textId="77777777" w:rsidR="00663CDF" w:rsidRDefault="00F71B39">
            <w:pPr>
              <w:pStyle w:val="Normal0"/>
              <w:jc w:val="center"/>
              <w:rPr>
                <w:sz w:val="22"/>
                <w:szCs w:val="22"/>
              </w:rPr>
            </w:pPr>
            <w:r>
              <w:rPr>
                <w:sz w:val="22"/>
                <w:szCs w:val="22"/>
              </w:rPr>
              <w:t>12453</w:t>
            </w:r>
          </w:p>
        </w:tc>
        <w:tc>
          <w:tcPr>
            <w:tcW w:w="1637" w:type="dxa"/>
            <w:vAlign w:val="center"/>
          </w:tcPr>
          <w:p w14:paraId="000004A2" w14:textId="77777777" w:rsidR="00663CDF" w:rsidRDefault="00F71B39">
            <w:pPr>
              <w:pStyle w:val="Normal0"/>
              <w:jc w:val="center"/>
              <w:rPr>
                <w:sz w:val="22"/>
                <w:szCs w:val="22"/>
              </w:rPr>
            </w:pPr>
            <w:r>
              <w:rPr>
                <w:sz w:val="22"/>
                <w:szCs w:val="22"/>
              </w:rPr>
              <w:t>17868</w:t>
            </w:r>
          </w:p>
        </w:tc>
        <w:tc>
          <w:tcPr>
            <w:tcW w:w="1637" w:type="dxa"/>
            <w:vAlign w:val="center"/>
          </w:tcPr>
          <w:p w14:paraId="000004A3" w14:textId="77777777" w:rsidR="00663CDF" w:rsidRDefault="00F71B39">
            <w:pPr>
              <w:pStyle w:val="Normal0"/>
              <w:jc w:val="center"/>
              <w:rPr>
                <w:sz w:val="22"/>
                <w:szCs w:val="22"/>
              </w:rPr>
            </w:pPr>
            <w:r>
              <w:rPr>
                <w:sz w:val="22"/>
                <w:szCs w:val="22"/>
              </w:rPr>
              <w:t>53.4</w:t>
            </w:r>
          </w:p>
        </w:tc>
      </w:tr>
    </w:tbl>
    <w:p w14:paraId="000004A4" w14:textId="77777777" w:rsidR="00663CDF" w:rsidRDefault="00F71B39">
      <w:pPr>
        <w:pStyle w:val="Normal0"/>
        <w:spacing w:after="160" w:line="360" w:lineRule="auto"/>
        <w:rPr>
          <w:b/>
        </w:rPr>
      </w:pPr>
      <w:r>
        <w:rPr>
          <w:b/>
        </w:rPr>
        <w:t>Fuente: Elaboración propia con base en información del Departamento Nacional de Planeación (Terridata), Contaduría General de la Nación, Secretaría de Hacienda del Municipio de Turbaco (Informes de Ejecución Presupuestal 2016–2023), y SISPRO – Ministerio de Salud y Protección Social.</w:t>
      </w:r>
    </w:p>
    <w:p w14:paraId="000004A5" w14:textId="77777777" w:rsidR="00663CDF" w:rsidRDefault="00F71B39">
      <w:pPr>
        <w:pStyle w:val="Normal0"/>
        <w:spacing w:after="160" w:line="360" w:lineRule="auto"/>
        <w:ind w:firstLine="708"/>
      </w:pPr>
      <w:r>
        <w:t>Estos indicadores facilitan una lectura transversal del comportamiento de la gestión pública municipal abordando desde el cumplimiento de las disposiciones normativas –Ley 617 de 2000– hasta el fortalecimiento de la capacidad de generación de ingresos propios, la priorización del gasto social y la expansión progresiva de coberturas en sectores fundamentales como salud.</w:t>
      </w:r>
    </w:p>
    <w:p w14:paraId="000004A6" w14:textId="77777777" w:rsidR="00663CDF" w:rsidRDefault="00F71B39">
      <w:pPr>
        <w:pStyle w:val="Normal0"/>
        <w:spacing w:after="160" w:line="360" w:lineRule="auto"/>
        <w:ind w:firstLine="708"/>
      </w:pPr>
      <w:r>
        <w:t>En ese sentido, la evolución del porcentaje de gasto de funcionamiento sobre los ingresos corrientes de libre destinación (ICLD) se convierte en un indicador central para valorar la disciplina fiscal del municipio, mantener este porcentaje dentro de los márgenes establecidos por la normatividad es no solo un requisito legal, sino una muestra de capacidad de autorregulación del gasto operativo, en un escenario de presión creciente por la expansión de la demanda social. De allí que la progresiva reducción de este indicador sugiere un ajuste institucional orientado a liberar capacidad presupuestal para la inversión social.</w:t>
      </w:r>
    </w:p>
    <w:p w14:paraId="000004A7" w14:textId="77777777" w:rsidR="00663CDF" w:rsidRDefault="00F71B39">
      <w:pPr>
        <w:pStyle w:val="Normal0"/>
        <w:spacing w:after="160" w:line="360" w:lineRule="auto"/>
        <w:ind w:firstLine="708"/>
      </w:pPr>
      <w:r>
        <w:t>De igual manera, el comportamiento del recaudo tributario –específicamente el Impuesto Predial Unificado (IPU) y del Impuesto de Industria y Comercio (ICA)– constituye una señal clara del fortalecimiento de la base fiscal municipal. Estos incrementos no es posible examinarlos en términos absolutos, sino como evidencia de un proceso sostenido de modernización del sistema tributario local, de mejoras en la gestión administrativa y finalmente de potenciales ampliaciones en la base de contribuyentes producto del crecimiento urbano y económico del territorio.</w:t>
      </w:r>
    </w:p>
    <w:p w14:paraId="000004A8" w14:textId="77777777" w:rsidR="00663CDF" w:rsidRDefault="00F71B39">
      <w:pPr>
        <w:pStyle w:val="Normal0"/>
        <w:spacing w:after="160" w:line="360" w:lineRule="auto"/>
        <w:ind w:firstLine="708"/>
      </w:pPr>
      <w:r>
        <w:t xml:space="preserve">En el plano social, se destaca el aumento en la cobertura del sistema de salud, cuya medición, aunque no es atribuible exclusivamente a la gestión local, sí refleja la capacidad municipal para articularse con los sistemas de aseguramiento y </w:t>
      </w:r>
      <w:r>
        <w:lastRenderedPageBreak/>
        <w:t xml:space="preserve">garantizar mayores niveles de acceso, al menos en términos formales. Este avance, en conjunto con la información sobre pobreza multidimensional y distribución del Sisbén IV, plantea una lectura ambivalente: si bien se logran progresos sectoriales, persisten niveles estructurales de exclusión social que no han sido mitigados de manera contundente a través de la recategorización. Cabe subrayar entre otras reflexiones al respecto:  </w:t>
      </w:r>
    </w:p>
    <w:p w14:paraId="000004A9" w14:textId="77777777" w:rsidR="00663CDF" w:rsidRDefault="00F71B39">
      <w:pPr>
        <w:pStyle w:val="Normal0"/>
        <w:spacing w:after="160" w:line="360" w:lineRule="auto"/>
        <w:rPr>
          <w:b/>
        </w:rPr>
      </w:pPr>
      <w:r>
        <w:rPr>
          <w:b/>
        </w:rPr>
        <w:t>a) Indicador de cumplimiento fiscal – % de gasto de funcionamiento sobre ICLD</w:t>
      </w:r>
    </w:p>
    <w:p w14:paraId="000004AA" w14:textId="77777777" w:rsidR="00663CDF" w:rsidRDefault="00F71B39">
      <w:pPr>
        <w:pStyle w:val="Normal0"/>
        <w:spacing w:after="160" w:line="360" w:lineRule="auto"/>
      </w:pPr>
      <w:bookmarkStart w:id="61" w:name="_heading=h.k5a88amiwgbb" w:colFirst="0" w:colLast="0"/>
      <w:bookmarkEnd w:id="61"/>
      <w:r>
        <w:t xml:space="preserve">Durante el período Turbaco expone una dinámica sobre el gasto de funcionamiento que fluctúa entre el </w:t>
      </w:r>
      <w:r>
        <w:rPr>
          <w:b/>
        </w:rPr>
        <w:t>61 % y el 80 % d</w:t>
      </w:r>
      <w:r>
        <w:t xml:space="preserve">e los ingresos corrientes de libre destinación (ICLD), equivalentes a una reducción </w:t>
      </w:r>
      <w:r>
        <w:rPr>
          <w:b/>
        </w:rPr>
        <w:t>de 19 puntos en 8 años,</w:t>
      </w:r>
      <w:r>
        <w:t xml:space="preserve"> de los cuales 12 se logran antes de la pandemia del Covid-19. Es decir, muestra el esfuerzo por salvaguardarse dentro de los límites exigidos por la Ley 617 de 2000, para municipios ubicados en la cuarta categoría, como se observa en la gráfica adjunta </w:t>
      </w:r>
      <w:r>
        <w:br/>
      </w:r>
    </w:p>
    <w:p w14:paraId="000004AB" w14:textId="77777777" w:rsidR="00663CDF" w:rsidRDefault="00F71B39">
      <w:pPr>
        <w:pStyle w:val="Normal0"/>
        <w:spacing w:after="160" w:line="360" w:lineRule="auto"/>
        <w:rPr>
          <w:b/>
        </w:rPr>
      </w:pPr>
      <w:r>
        <w:rPr>
          <w:b/>
        </w:rPr>
        <w:t>Gráfico 2. % de gasto de funcionamiento sobre ICLD</w:t>
      </w:r>
    </w:p>
    <w:p w14:paraId="000004AC" w14:textId="77777777" w:rsidR="00663CDF" w:rsidRDefault="00F71B39">
      <w:pPr>
        <w:pStyle w:val="Normal0"/>
        <w:spacing w:after="160" w:line="360" w:lineRule="auto"/>
      </w:pPr>
      <w:r>
        <w:rPr>
          <w:noProof/>
        </w:rPr>
        <w:drawing>
          <wp:inline distT="0" distB="0" distL="0" distR="0" wp14:anchorId="54DE6D8A" wp14:editId="07777777">
            <wp:extent cx="4533900" cy="2733675"/>
            <wp:effectExtent l="0" t="0" r="0" b="0"/>
            <wp:docPr id="176378620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4533900" cy="2733675"/>
                    </a:xfrm>
                    <a:prstGeom prst="rect">
                      <a:avLst/>
                    </a:prstGeom>
                    <a:ln/>
                  </pic:spPr>
                </pic:pic>
              </a:graphicData>
            </a:graphic>
          </wp:inline>
        </w:drawing>
      </w:r>
    </w:p>
    <w:p w14:paraId="000004AD" w14:textId="77777777" w:rsidR="00663CDF" w:rsidRDefault="00F71B39">
      <w:pPr>
        <w:pStyle w:val="Normal0"/>
        <w:spacing w:after="160" w:line="360" w:lineRule="auto"/>
      </w:pPr>
      <w:r>
        <w:rPr>
          <w:sz w:val="18"/>
          <w:szCs w:val="18"/>
        </w:rPr>
        <w:t>Fuente: Ejecuciones presupuestales municipales (2016–2023</w:t>
      </w:r>
      <w:r>
        <w:t>).</w:t>
      </w:r>
    </w:p>
    <w:p w14:paraId="000004AE" w14:textId="77777777" w:rsidR="00663CDF" w:rsidRDefault="00F71B39">
      <w:pPr>
        <w:pStyle w:val="Normal0"/>
        <w:spacing w:after="160" w:line="360" w:lineRule="auto"/>
        <w:rPr>
          <w:b/>
        </w:rPr>
      </w:pPr>
      <w:r>
        <w:rPr>
          <w:b/>
        </w:rPr>
        <w:lastRenderedPageBreak/>
        <w:t>b) Indicador de fortalecimiento del recaudo – Crecimiento del IPU e ICA</w:t>
      </w:r>
    </w:p>
    <w:p w14:paraId="000004AF" w14:textId="77777777" w:rsidR="00663CDF" w:rsidRDefault="00F71B39">
      <w:pPr>
        <w:pStyle w:val="Normal0"/>
        <w:spacing w:after="160" w:line="360" w:lineRule="auto"/>
        <w:rPr>
          <w:i/>
        </w:rPr>
      </w:pPr>
      <w:r>
        <w:t>El Impuesto Predial Unificado (IPU) pasó de $2.447 millones (2016) a $12.453 millones (2023)</w:t>
      </w:r>
      <w:r>
        <w:rPr>
          <w:vertAlign w:val="superscript"/>
        </w:rPr>
        <w:footnoteReference w:id="3"/>
      </w:r>
      <w:r>
        <w:t>,</w:t>
      </w:r>
      <w:r>
        <w:rPr>
          <w:b/>
        </w:rPr>
        <w:t xml:space="preserve"> </w:t>
      </w:r>
      <w:r>
        <w:t>expresando</w:t>
      </w:r>
      <w:r>
        <w:rPr>
          <w:b/>
        </w:rPr>
        <w:t xml:space="preserve"> </w:t>
      </w:r>
      <w:r>
        <w:t>un crecimiento del 408,8 </w:t>
      </w:r>
      <w:proofErr w:type="gramStart"/>
      <w:r>
        <w:t>%,  mientras</w:t>
      </w:r>
      <w:proofErr w:type="gramEnd"/>
      <w:r>
        <w:t xml:space="preserve"> que el Impuesto de Industria y Comercio (ICA) aumentó de $5.257 millones a $17.868 millones, con una variación del </w:t>
      </w:r>
      <w:r>
        <w:rPr>
          <w:b/>
        </w:rPr>
        <w:t>239,8 %</w:t>
      </w:r>
      <w:r>
        <w:t>, demostrando una mayor eficiencia en la administración tributaria local.</w:t>
      </w:r>
      <w:r>
        <w:br/>
      </w:r>
    </w:p>
    <w:p w14:paraId="000004B0" w14:textId="77777777" w:rsidR="00663CDF" w:rsidRDefault="00F71B39">
      <w:pPr>
        <w:pStyle w:val="Normal0"/>
        <w:pBdr>
          <w:top w:val="nil"/>
          <w:left w:val="nil"/>
          <w:bottom w:val="nil"/>
          <w:right w:val="nil"/>
          <w:between w:val="nil"/>
        </w:pBdr>
        <w:spacing w:line="360" w:lineRule="auto"/>
        <w:rPr>
          <w:b/>
          <w:i/>
          <w:color w:val="000000"/>
        </w:rPr>
      </w:pPr>
      <w:bookmarkStart w:id="62" w:name="_heading=h.q1489ux4eqf8" w:colFirst="0" w:colLast="0"/>
      <w:bookmarkEnd w:id="62"/>
      <w:r>
        <w:rPr>
          <w:b/>
          <w:i/>
        </w:rPr>
        <w:t>Gráfico</w:t>
      </w:r>
      <w:r>
        <w:rPr>
          <w:b/>
          <w:i/>
          <w:color w:val="000000"/>
        </w:rPr>
        <w:t xml:space="preserve"> 3. </w:t>
      </w:r>
      <w:r>
        <w:rPr>
          <w:b/>
          <w:color w:val="000000"/>
        </w:rPr>
        <w:t>Crecimiento del IPU e ICA</w:t>
      </w:r>
    </w:p>
    <w:p w14:paraId="000004B1" w14:textId="77777777" w:rsidR="00663CDF" w:rsidRDefault="00F71B39">
      <w:pPr>
        <w:pStyle w:val="Normal0"/>
        <w:spacing w:after="160" w:line="360" w:lineRule="auto"/>
      </w:pPr>
      <w:r>
        <w:rPr>
          <w:noProof/>
        </w:rPr>
        <w:drawing>
          <wp:inline distT="0" distB="0" distL="0" distR="0" wp14:anchorId="4C99AC2A" wp14:editId="07777777">
            <wp:extent cx="4505325" cy="2562225"/>
            <wp:effectExtent l="0" t="0" r="0" b="0"/>
            <wp:docPr id="176378620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4505325" cy="2562225"/>
                    </a:xfrm>
                    <a:prstGeom prst="rect">
                      <a:avLst/>
                    </a:prstGeom>
                    <a:ln/>
                  </pic:spPr>
                </pic:pic>
              </a:graphicData>
            </a:graphic>
          </wp:inline>
        </w:drawing>
      </w:r>
    </w:p>
    <w:p w14:paraId="000004B2" w14:textId="77777777" w:rsidR="00663CDF" w:rsidRDefault="00F71B39">
      <w:pPr>
        <w:pStyle w:val="Normal0"/>
        <w:spacing w:after="160" w:line="360" w:lineRule="auto"/>
        <w:rPr>
          <w:i/>
        </w:rPr>
      </w:pPr>
      <w:r>
        <w:rPr>
          <w:i/>
        </w:rPr>
        <w:t>Fuente: Análisis ICA e IPU, Cap. 3.2.1.</w:t>
      </w:r>
    </w:p>
    <w:p w14:paraId="000004B3" w14:textId="77777777" w:rsidR="00663CDF" w:rsidRDefault="00F71B39">
      <w:pPr>
        <w:pStyle w:val="Normal0"/>
        <w:spacing w:after="160" w:line="360" w:lineRule="auto"/>
        <w:rPr>
          <w:b/>
        </w:rPr>
      </w:pPr>
      <w:r>
        <w:rPr>
          <w:b/>
        </w:rPr>
        <w:t>c) Indicador de inversión social – % de ICLD invertido en sectores clave</w:t>
      </w:r>
    </w:p>
    <w:p w14:paraId="000004B4" w14:textId="77777777" w:rsidR="00663CDF" w:rsidRDefault="00F71B39">
      <w:pPr>
        <w:pStyle w:val="Normal0"/>
        <w:spacing w:after="160" w:line="360" w:lineRule="auto"/>
      </w:pPr>
      <w:r>
        <w:t>Según los cuadros presentados en el capítulo 4, el municipio ha destinado una parte importante de sus ICLD a educación, salud y vivienda, aunque con limitaciones en la cobertura total.</w:t>
      </w:r>
      <w:r>
        <w:br/>
        <w:t xml:space="preserve">Por ejemplo, en educación se observa un aumento sostenido en la inversión entre 2016-2023, básicamente inversión en infraestructura (mantenimiento y </w:t>
      </w:r>
      <w:r>
        <w:lastRenderedPageBreak/>
        <w:t>mejoramiento de las IEO)</w:t>
      </w:r>
      <w:r>
        <w:br/>
      </w:r>
      <w:r>
        <w:rPr>
          <w:i/>
        </w:rPr>
        <w:t>Fuente: Tablas 8, 9 y 10 de la tesis.</w:t>
      </w:r>
    </w:p>
    <w:p w14:paraId="000004B5" w14:textId="77777777" w:rsidR="00663CDF" w:rsidRDefault="00F71B39">
      <w:pPr>
        <w:pStyle w:val="Normal0"/>
        <w:spacing w:after="160" w:line="360" w:lineRule="auto"/>
        <w:rPr>
          <w:b/>
        </w:rPr>
      </w:pPr>
      <w:r>
        <w:rPr>
          <w:b/>
        </w:rPr>
        <w:t>d) Indicador de cobertura de salud – % de acceso a servicios de salud</w:t>
      </w:r>
    </w:p>
    <w:p w14:paraId="000004B6" w14:textId="77777777" w:rsidR="00663CDF" w:rsidRDefault="00F71B39">
      <w:pPr>
        <w:pStyle w:val="Normal0"/>
        <w:spacing w:after="160" w:line="360" w:lineRule="auto"/>
        <w:rPr>
          <w:i/>
        </w:rPr>
      </w:pPr>
      <w:r>
        <w:t xml:space="preserve">La cobertura en salud pasó de </w:t>
      </w:r>
      <w:r>
        <w:rPr>
          <w:b/>
        </w:rPr>
        <w:t>36,5 % en 2016 a 53,4 % en 2023</w:t>
      </w:r>
      <w:r>
        <w:t xml:space="preserve">, mostrando un incremento progresivo, aunque aún insuficiente, ante la totalidad de la demanda por parte de la población turbaquera, específicamente la informalidad económica, ante la ausencia de programas de fomento al empleo y la generación de ingresos propios.  </w:t>
      </w:r>
      <w:r>
        <w:br/>
      </w:r>
      <w:r>
        <w:br/>
      </w:r>
      <w:r>
        <w:rPr>
          <w:b/>
        </w:rPr>
        <w:t>Gráfico 4. cobertura de salud</w:t>
      </w:r>
    </w:p>
    <w:p w14:paraId="000004B7" w14:textId="77777777" w:rsidR="00663CDF" w:rsidRDefault="00F71B39">
      <w:pPr>
        <w:pStyle w:val="Normal0"/>
        <w:spacing w:after="160" w:line="360" w:lineRule="auto"/>
      </w:pPr>
      <w:r>
        <w:rPr>
          <w:noProof/>
        </w:rPr>
        <w:drawing>
          <wp:inline distT="0" distB="0" distL="0" distR="0" wp14:anchorId="235B3332" wp14:editId="07777777">
            <wp:extent cx="4486275" cy="2562225"/>
            <wp:effectExtent l="0" t="0" r="0" b="0"/>
            <wp:docPr id="17637862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4486275" cy="2562225"/>
                    </a:xfrm>
                    <a:prstGeom prst="rect">
                      <a:avLst/>
                    </a:prstGeom>
                    <a:ln/>
                  </pic:spPr>
                </pic:pic>
              </a:graphicData>
            </a:graphic>
          </wp:inline>
        </w:drawing>
      </w:r>
    </w:p>
    <w:p w14:paraId="000004B8" w14:textId="77777777" w:rsidR="00663CDF" w:rsidRDefault="00F71B39">
      <w:pPr>
        <w:pStyle w:val="Normal0"/>
        <w:spacing w:after="160" w:line="360" w:lineRule="auto"/>
      </w:pPr>
      <w:r>
        <w:rPr>
          <w:i/>
        </w:rPr>
        <w:t>Fuente: DNP.</w:t>
      </w:r>
    </w:p>
    <w:p w14:paraId="000004B9" w14:textId="77777777" w:rsidR="00663CDF" w:rsidRDefault="00F71B39">
      <w:pPr>
        <w:pStyle w:val="Normal0"/>
        <w:spacing w:after="160" w:line="360" w:lineRule="auto"/>
        <w:rPr>
          <w:b/>
        </w:rPr>
      </w:pPr>
      <w:r>
        <w:rPr>
          <w:b/>
        </w:rPr>
        <w:t>e) Indicador de pobreza multidimensional – % de población en grupos A y B del Sisbén IV</w:t>
      </w:r>
    </w:p>
    <w:p w14:paraId="000004BA" w14:textId="77777777" w:rsidR="00663CDF" w:rsidRDefault="00F71B39">
      <w:pPr>
        <w:pStyle w:val="Normal0"/>
        <w:spacing w:after="160" w:line="360" w:lineRule="auto"/>
      </w:pPr>
      <w:r>
        <w:t xml:space="preserve">En 2023, el </w:t>
      </w:r>
      <w:r>
        <w:rPr>
          <w:b/>
        </w:rPr>
        <w:t>68,8 % de la población estaba clasificada en los grupos A y B del Sisbén IV</w:t>
      </w:r>
      <w:r>
        <w:rPr>
          <w:b/>
          <w:vertAlign w:val="superscript"/>
        </w:rPr>
        <w:footnoteReference w:id="4"/>
      </w:r>
      <w:r>
        <w:t xml:space="preserve">, lo cual indica una alta vulnerabilidad económica (informalidad laboral y </w:t>
      </w:r>
      <w:r>
        <w:lastRenderedPageBreak/>
        <w:t xml:space="preserve">precarización), lo cual implica una dependencia del régimen subsidiado, para la atención de seguridad social en salud, por parte de estos segmentos poblacionales.  </w:t>
      </w:r>
      <w:r>
        <w:br/>
      </w:r>
    </w:p>
    <w:p w14:paraId="000004BB" w14:textId="77777777" w:rsidR="00663CDF" w:rsidRDefault="00F71B39">
      <w:pPr>
        <w:pStyle w:val="Normal0"/>
        <w:spacing w:after="160" w:line="360" w:lineRule="auto"/>
      </w:pPr>
      <w:r>
        <w:t>Resumiendo, es posible afirmar que la recategorización del municipio no fue un simple cambio administrativo, ya que es indiscutible como la administración ha fortalecido ciertas capacidades fiscales que, si bien posibilitan una mayor autonomía para la toma de decisiones, en la práctica no resuelven los factores estructurales-ya reseñados- que inciden en la calidad de vida de los turbaqueros. A modo de contrastes, los avances en cobertura de servicios en salud han sido moderados, pero a la vez se constituyen en señales de progreso. Todo esto permite proponer una hipótesis sencilla: la recategorización, al ampliar los márgenes de maniobra financiera del municipio contribuye en los procesos para el desempeño institucional. No se trata de una relación directa ni automática, pues también intervienen factores políticos, técnicos y sociales, pero sí puede afirmarse que hay vínculos entre esa nueva categoría y ciertos logros en la gestión local.</w:t>
      </w:r>
    </w:p>
    <w:p w14:paraId="000004BC" w14:textId="77777777" w:rsidR="00663CDF" w:rsidRDefault="00663CDF">
      <w:pPr>
        <w:pStyle w:val="Normal0"/>
        <w:spacing w:after="160" w:line="360" w:lineRule="auto"/>
      </w:pPr>
    </w:p>
    <w:p w14:paraId="000004BD" w14:textId="77777777" w:rsidR="00663CDF" w:rsidRDefault="00F71B39">
      <w:pPr>
        <w:pStyle w:val="Ttulo3"/>
      </w:pPr>
      <w:bookmarkStart w:id="63" w:name="_heading=h.ctist3solvj4" w:colFirst="0" w:colLast="0"/>
      <w:bookmarkEnd w:id="63"/>
      <w:r>
        <w:t xml:space="preserve">4.14. Contexto ambiental y expansión urbana en Turbaco (2016–2023). Desafíos y Limitantes </w:t>
      </w:r>
    </w:p>
    <w:p w14:paraId="000004BE" w14:textId="77777777" w:rsidR="00663CDF" w:rsidRDefault="00663CDF">
      <w:pPr>
        <w:pStyle w:val="Normal0"/>
      </w:pPr>
    </w:p>
    <w:p w14:paraId="000004BF" w14:textId="77777777" w:rsidR="00663CDF" w:rsidRDefault="00F71B39">
      <w:pPr>
        <w:pStyle w:val="Normal0"/>
        <w:spacing w:after="160" w:line="360" w:lineRule="auto"/>
      </w:pPr>
      <w:r>
        <w:t>La dimensión ambiental en el municipio de Turbaco ha cobrado especial relevancia en el marco de los procesos de descentralización y recategorización, en tanto el crecimiento urbano desordenado ha producido tensiones crecientes sobre los ecosistemas locales, la capacidad de los servicios públicos y la sostenibilidad del desarrollo territorial. Esta condición ha sido registrada en los informes oficiales y estudios técnicos elaborados por la administración municipal, incluyendo el diagnóstico ambiental territorial consolidado en el año 2020.</w:t>
      </w:r>
    </w:p>
    <w:p w14:paraId="000004C0" w14:textId="77777777" w:rsidR="00663CDF" w:rsidRDefault="00F71B39">
      <w:pPr>
        <w:pStyle w:val="Normal0"/>
        <w:spacing w:after="160" w:line="360" w:lineRule="auto"/>
        <w:ind w:firstLine="708"/>
        <w:rPr>
          <w:highlight w:val="yellow"/>
        </w:rPr>
      </w:pPr>
      <w:r>
        <w:t xml:space="preserve">De acuerdo con dicho análisis, la ocupación informal de suelos rurales y zonas de amortiguamiento ambiental ha intensificado la presión sobre recursos </w:t>
      </w:r>
      <w:r>
        <w:lastRenderedPageBreak/>
        <w:t>naturales estratégicos, en particular sobre áreas de recarga hídrica y terrenos con vocación agropecuaria</w:t>
      </w:r>
    </w:p>
    <w:p w14:paraId="000004C1" w14:textId="77777777" w:rsidR="00663CDF" w:rsidRDefault="00F71B39">
      <w:pPr>
        <w:pStyle w:val="Normal0"/>
        <w:spacing w:after="160" w:line="360" w:lineRule="auto"/>
        <w:ind w:firstLine="708"/>
        <w:rPr>
          <w:b/>
          <w:color w:val="000000"/>
        </w:rPr>
      </w:pPr>
      <w:r>
        <w:rPr>
          <w:b/>
          <w:color w:val="000000"/>
        </w:rPr>
        <w:t>Tabla 14. Número de construcciones por comunas en Turbaco corte 2020.</w:t>
      </w:r>
    </w:p>
    <w:p w14:paraId="000004C2" w14:textId="77777777" w:rsidR="00663CDF" w:rsidRDefault="00F71B39">
      <w:pPr>
        <w:pStyle w:val="Normal0"/>
        <w:spacing w:after="160" w:line="360" w:lineRule="auto"/>
        <w:ind w:firstLine="708"/>
      </w:pPr>
      <w:r>
        <w:rPr>
          <w:noProof/>
        </w:rPr>
        <w:drawing>
          <wp:inline distT="0" distB="0" distL="0" distR="0" wp14:anchorId="070F9560" wp14:editId="07777777">
            <wp:extent cx="3324166" cy="1373281"/>
            <wp:effectExtent l="0" t="0" r="0" b="0"/>
            <wp:docPr id="176378620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3324166" cy="1373281"/>
                    </a:xfrm>
                    <a:prstGeom prst="rect">
                      <a:avLst/>
                    </a:prstGeom>
                    <a:ln/>
                  </pic:spPr>
                </pic:pic>
              </a:graphicData>
            </a:graphic>
          </wp:inline>
        </w:drawing>
      </w:r>
    </w:p>
    <w:p w14:paraId="000004C3" w14:textId="77777777" w:rsidR="00663CDF" w:rsidRDefault="00F71B39">
      <w:pPr>
        <w:pStyle w:val="Normal0"/>
        <w:spacing w:after="160" w:line="360" w:lineRule="auto"/>
        <w:ind w:firstLine="708"/>
        <w:rPr>
          <w:b/>
          <w:sz w:val="22"/>
          <w:szCs w:val="22"/>
        </w:rPr>
      </w:pPr>
      <w:r>
        <w:rPr>
          <w:b/>
          <w:sz w:val="22"/>
          <w:szCs w:val="22"/>
        </w:rPr>
        <w:t xml:space="preserve">Fuente: Diagnostico POT 2020 Turbaco. </w:t>
      </w:r>
    </w:p>
    <w:p w14:paraId="000004C4" w14:textId="77777777" w:rsidR="00663CDF" w:rsidRDefault="00F71B39">
      <w:pPr>
        <w:pStyle w:val="Normal0"/>
        <w:spacing w:after="160" w:line="360" w:lineRule="auto"/>
        <w:ind w:firstLine="708"/>
      </w:pPr>
      <w:r>
        <w:t>La información del IGAC procesada por el municipio (2020) muestra que la comuna 1 concentra 11.250 predios urbanos, lo que representa el 37.36% del total del área urbana. Le siguen la comuna 3 con 19.09% y la comuna 2 con 11.98%, mientras que las comunas 5 y 6 apenas concentran el 8.44% y 11.48% respectivamente. Esto refleja una tendencia de densificación en zonas centrales y dispersión en periferias, donde predomina el loteo informal.</w:t>
      </w:r>
    </w:p>
    <w:p w14:paraId="000004C5" w14:textId="77777777" w:rsidR="00663CDF" w:rsidRDefault="00F71B39">
      <w:pPr>
        <w:pStyle w:val="Normal0"/>
        <w:spacing w:after="160" w:line="360" w:lineRule="auto"/>
        <w:ind w:firstLine="708"/>
      </w:pPr>
      <w:r>
        <w:t>En el área rural, el total de predios registrados asciende a 7.321 y se distribuyen en 27 veredas. Las más intervenidas en términos de área construida son Coloncito Abajo (11.06%), La Campaña (9.97%) y Colorado (8.29%). Este fenómeno coincide con el incremento del número de UPAs (Unidades de Producción Agropecuaria) registradas en zonas de transición urbano-rural, donde predominan lotes de 0 a 3 hectáreas. En efecto, del total de 986 UPAs identificadas, el 53% se encuentra en el rango entre 0 y 1 ha, y el 34% entre 1 y 3 ha, lo cual sugiere una fragmentación del suelo productivo y una amenaza latente de suburbanización difusa.</w:t>
      </w:r>
    </w:p>
    <w:p w14:paraId="000004C6" w14:textId="77777777" w:rsidR="00663CDF" w:rsidRDefault="00F71B39">
      <w:pPr>
        <w:pStyle w:val="Normal0"/>
        <w:spacing w:after="160" w:line="360" w:lineRule="auto"/>
        <w:ind w:firstLine="708"/>
      </w:pPr>
      <w:r>
        <w:t xml:space="preserve">Por otra parte, se identifican falencias estructurales en la integración de los instrumentos de planificación y gestión ambiental del municipio. No existe una </w:t>
      </w:r>
      <w:r>
        <w:lastRenderedPageBreak/>
        <w:t>articulación eficaz entre el POT, el PGIRS y el PMGRD, lo cual dificulta la implementación de proyectos sostenibles y la prevención de riesgos ambientales, constituyéndose en un reto para la institucionalidad que no permite más dilaciones al respecto. Cabe subrayar que esta desconexión se refleja también en la baja cobertura de corredores ecológicos, la falta de control en vertimientos, y el escaso manejo diferenciado de residuos en zonas rurales y urbanas.</w:t>
      </w:r>
    </w:p>
    <w:p w14:paraId="000004C7" w14:textId="77777777" w:rsidR="00663CDF" w:rsidRDefault="00F71B39">
      <w:pPr>
        <w:pStyle w:val="Normal0"/>
        <w:spacing w:after="160" w:line="360" w:lineRule="auto"/>
        <w:ind w:firstLine="708"/>
      </w:pPr>
      <w:r>
        <w:t>En términos normativos y operativos, el municipio aún no cuenta con una política pública ambiental integral que conecte sus desafíos ecológicos con la inversión pública y la planificación territorial. A pesar de que algunos planes sectoriales abordan de manera dispersa temas de reforestación, uso eficiente del suelo o conectividad ecológica, no existe una instancia institucional que los congregue ni un sistema de indicadores que permita monitorear su implementación.</w:t>
      </w:r>
    </w:p>
    <w:p w14:paraId="000004C8" w14:textId="77777777" w:rsidR="00663CDF" w:rsidRDefault="00F71B39">
      <w:pPr>
        <w:pStyle w:val="Normal0"/>
        <w:spacing w:after="160" w:line="360" w:lineRule="auto"/>
      </w:pPr>
      <w:r>
        <w:t xml:space="preserve">Así las cosas, la gestión ambiental del municipio de Turbaco enfrenta severas limitantes técnicas, normativas y operativas que han favorecido la reproducción de dinámicas de urbanización no planificadas y la pérdida de funciones ecosistémicas. La incorporación de una perspectiva ambiental en el análisis de la gestión pública local, como se desarrolla en este capítulo, permite complejizar el diagnóstico institucional y ofrece insumos concretos para el diseño de políticas integrales en el marco del nuevo estatus categórico del municipio. </w:t>
      </w:r>
    </w:p>
    <w:p w14:paraId="000004C9" w14:textId="77777777" w:rsidR="00663CDF" w:rsidRDefault="00663CDF">
      <w:pPr>
        <w:pStyle w:val="Normal0"/>
        <w:spacing w:after="160" w:line="360" w:lineRule="auto"/>
      </w:pPr>
    </w:p>
    <w:p w14:paraId="000004CA" w14:textId="77777777" w:rsidR="00663CDF" w:rsidRDefault="00F71B39">
      <w:pPr>
        <w:pStyle w:val="Ttulo3"/>
      </w:pPr>
      <w:bookmarkStart w:id="64" w:name="_heading=h.8xmmdfz0855x" w:colFirst="0" w:colLast="0"/>
      <w:bookmarkEnd w:id="64"/>
      <w:r>
        <w:t>4.15. Contraste de los hallazgos con el estado del arte</w:t>
      </w:r>
    </w:p>
    <w:p w14:paraId="000004CB" w14:textId="77777777" w:rsidR="00663CDF" w:rsidRDefault="00663CDF">
      <w:pPr>
        <w:pStyle w:val="Normal0"/>
      </w:pPr>
    </w:p>
    <w:p w14:paraId="000004CC" w14:textId="77777777" w:rsidR="00663CDF" w:rsidRDefault="00F71B39">
      <w:pPr>
        <w:pStyle w:val="Normal0"/>
        <w:spacing w:line="360" w:lineRule="auto"/>
      </w:pPr>
      <w:r>
        <w:t xml:space="preserve">Los hallazgos del presente estudio ofrecen un aporte significativo al cuerpo teórico y empírico que aborda los procesos de categorización y descentralización en el contexto municipal colombiano. A diferencia de los enfoques que abordan la recategorización como un avance lineal hacia el fortalecimiento institucional, los resultados de esta investigación muestran una realidad más compleja, donde </w:t>
      </w:r>
      <w:proofErr w:type="gramStart"/>
      <w:r>
        <w:t>la características jurídicas</w:t>
      </w:r>
      <w:proofErr w:type="gramEnd"/>
      <w:r>
        <w:t xml:space="preserve">, fiscales y capacidad técnica-operativa de la administración </w:t>
      </w:r>
      <w:r>
        <w:lastRenderedPageBreak/>
        <w:t>de Turbaco no garantiza automáticamente innovaciones sustantivas en la calidad del gasto público, la planificación territorial ni en el bienestar ciudadano.</w:t>
      </w:r>
    </w:p>
    <w:p w14:paraId="000004CD" w14:textId="77777777" w:rsidR="00663CDF" w:rsidRDefault="00663CDF">
      <w:pPr>
        <w:pStyle w:val="Normal0"/>
        <w:spacing w:line="360" w:lineRule="auto"/>
      </w:pPr>
    </w:p>
    <w:p w14:paraId="000004CE" w14:textId="77777777" w:rsidR="00663CDF" w:rsidRDefault="00F71B39">
      <w:pPr>
        <w:pStyle w:val="Normal0"/>
        <w:spacing w:line="360" w:lineRule="auto"/>
        <w:ind w:firstLine="708"/>
      </w:pPr>
      <w:r>
        <w:t>La evidencia recopilada en el caso de Turbaco permite sostener que, si bien el proceso de recategorización habilitó un margen normativo y fiscal más amplio para la administración, dicho margen no se ha traducido homogéneamente en una gestión pública más eficiente y un desarrollo social más equitativo. Esta afirmación se alinea con los planteamientos de Falleti (2005), quien advierte que los efectos de la descentralización no pueden medirse únicamente por el grado de autonomía formal, sino por los resultados concretos en materia de equidad, acceso a bienes públicos y justicia territorial.</w:t>
      </w:r>
    </w:p>
    <w:p w14:paraId="000004CF" w14:textId="77777777" w:rsidR="00663CDF" w:rsidRDefault="00663CDF">
      <w:pPr>
        <w:pStyle w:val="Normal0"/>
        <w:spacing w:line="360" w:lineRule="auto"/>
      </w:pPr>
    </w:p>
    <w:p w14:paraId="000004D0" w14:textId="77777777" w:rsidR="00663CDF" w:rsidRDefault="00F71B39">
      <w:pPr>
        <w:pStyle w:val="Normal0"/>
        <w:spacing w:line="360" w:lineRule="auto"/>
        <w:ind w:firstLine="708"/>
      </w:pPr>
      <w:r>
        <w:t>Una de las evidencias más notables fue la actualización catastral implementada en 2020, que permitió al municipio ajustar la base gravable e incrementar su capacidad de recaudo. Esta medida, más que cualquier modificación normativa, representó un punto de inflexión en la configuración financiera del ente territorial, facilitando el cumplimiento de los indicadores exigidos por la Ley 617 de 2000 para la clasificación del municipio en una categoría superior. No obstante, como también lo revela esta investigación, el incremento en los ingresos no se ha traducido automáticamente en mejoras sustanciales en los sectores estratégicos como salud, educación, infraestructura y servicios públicos. Persisten tensiones entre la capacidad financiera adquirida y la limitada estructura técnico-administrativa para su ejecución eficiente.</w:t>
      </w:r>
    </w:p>
    <w:p w14:paraId="000004D1" w14:textId="77777777" w:rsidR="00663CDF" w:rsidRDefault="00663CDF">
      <w:pPr>
        <w:pStyle w:val="Normal0"/>
        <w:spacing w:line="360" w:lineRule="auto"/>
      </w:pPr>
    </w:p>
    <w:p w14:paraId="000004D2" w14:textId="77777777" w:rsidR="00663CDF" w:rsidRDefault="00F71B39">
      <w:pPr>
        <w:pStyle w:val="Normal0"/>
        <w:spacing w:line="360" w:lineRule="auto"/>
        <w:ind w:firstLine="708"/>
      </w:pPr>
      <w:r>
        <w:t xml:space="preserve">Asimismo, los resultados contrastan con algunas perspectivas del estado del arte que postulan una relación directa entre mayor capacidad fiscal y una gran capacidad de gestión. En Turbaco, se constata que esta correlación es mediada por otros factores como la cultura organizacional, la calidad del liderazgo político, la continuidad en los procesos de planificación y la articulación interinstitucional. Esta situación respalda las tesis que critican una visión excesivamente tecnocrática de la </w:t>
      </w:r>
      <w:r>
        <w:lastRenderedPageBreak/>
        <w:t>descentralización y que abogan por el análisis de las dimensiones político-institucionales en el estudio de los gobiernos locales.</w:t>
      </w:r>
    </w:p>
    <w:p w14:paraId="000004D3" w14:textId="77777777" w:rsidR="00663CDF" w:rsidRDefault="00663CDF">
      <w:pPr>
        <w:pStyle w:val="Normal0"/>
        <w:spacing w:line="360" w:lineRule="auto"/>
      </w:pPr>
    </w:p>
    <w:p w14:paraId="000004D4" w14:textId="77777777" w:rsidR="00663CDF" w:rsidRDefault="00F71B39">
      <w:pPr>
        <w:pStyle w:val="Normal0"/>
        <w:spacing w:line="360" w:lineRule="auto"/>
        <w:ind w:firstLine="708"/>
      </w:pPr>
      <w:r>
        <w:t>Del mismo modo, se valida parcialmente lo expuesto por autores como Flórez y Velásquez (2016), quienes argumentan que la recategorización debe ir acompañada de un fortalecimiento integral de las capacidades estatales, y no limitarse a una reconfiguración contable o presupuestal. En efecto, si bien se comprueban avances en la sostenibilidad fiscal, estos se ven limitados por debilidades en la articulación entre planificación y ejecución, en la transparencia del gasto, y en los mecanismos de rendición de cuentas</w:t>
      </w:r>
      <w:r>
        <w:rPr>
          <w:vertAlign w:val="superscript"/>
        </w:rPr>
        <w:footnoteReference w:id="5"/>
      </w:r>
      <w:r>
        <w:t>. De igual forma se aporta desde una dimensión metodológica, al incorporar la perspectiva ciudadana a través de entrevistas cualitativas, lo cual permitió revelar tensiones invisibles en los diagnósticos técnicos. Esta inclusión enriquece el debate académico sobre la descentralización, evidenciando que las reformas institucionales deben ser examinadas no sólo desde su impacto estructural, sino también desde la percepción de quienes experimentan los resultados de dichas transformaciones en su vida cotidiana.</w:t>
      </w:r>
    </w:p>
    <w:p w14:paraId="000004D5" w14:textId="77777777" w:rsidR="00663CDF" w:rsidRDefault="00663CDF">
      <w:pPr>
        <w:pStyle w:val="Normal0"/>
        <w:spacing w:line="360" w:lineRule="auto"/>
      </w:pPr>
    </w:p>
    <w:p w14:paraId="000004D6" w14:textId="77777777" w:rsidR="00663CDF" w:rsidRDefault="00F71B39">
      <w:pPr>
        <w:pStyle w:val="Normal0"/>
        <w:spacing w:line="360" w:lineRule="auto"/>
      </w:pPr>
      <w:r>
        <w:t xml:space="preserve">Los hallazgos de esta investigación complejizan las lecturas convencionales sobre la recategorización, comprobando que su impacto es contingente, diferenciado y profundamente condicionado por factores institucionales, sociales y políticos. Lejos de ser un mecanismo automático de mejora, la categorización debe analizarse como un proceso cuya efectividad dependerá de las capacidades reales del municipio para traducir mayores ingresos en desarrollo equitativo y sostenible. </w:t>
      </w:r>
    </w:p>
    <w:p w14:paraId="000004D7" w14:textId="77777777" w:rsidR="00663CDF" w:rsidRDefault="00663CDF">
      <w:pPr>
        <w:pStyle w:val="Normal0"/>
        <w:spacing w:line="360" w:lineRule="auto"/>
      </w:pPr>
    </w:p>
    <w:p w14:paraId="000004D8" w14:textId="77777777" w:rsidR="00663CDF" w:rsidRDefault="00663CDF">
      <w:pPr>
        <w:pStyle w:val="Normal0"/>
        <w:spacing w:line="360" w:lineRule="auto"/>
      </w:pPr>
    </w:p>
    <w:p w14:paraId="000004D9" w14:textId="77777777" w:rsidR="00663CDF" w:rsidRDefault="00F71B39">
      <w:pPr>
        <w:pStyle w:val="Ttulo2"/>
        <w:spacing w:line="360" w:lineRule="auto"/>
      </w:pPr>
      <w:bookmarkStart w:id="65" w:name="_heading=h.9ls91s37zfx1" w:colFirst="0" w:colLast="0"/>
      <w:bookmarkEnd w:id="65"/>
      <w:r>
        <w:lastRenderedPageBreak/>
        <w:t>5. RECOMENDACIONES PARA LA OPTIMIZACIÓN DE LOS PROCESOS Y CRITERIOS DE CATEGORIZACIÓN DEL MUNICIPIO DE TURBACO</w:t>
      </w:r>
    </w:p>
    <w:p w14:paraId="000004DA" w14:textId="77777777" w:rsidR="00663CDF" w:rsidRDefault="00F71B39">
      <w:pPr>
        <w:pStyle w:val="Normal0"/>
        <w:spacing w:after="160" w:line="360" w:lineRule="auto"/>
      </w:pPr>
      <w:r>
        <w:t>El análisis de la incidencia de la categorización municipal en la gestión pública y el desarrollo social de Turbaco ha revelado una serie de desafíos estructurales en la administración de los recursos fiscales y en la capacidad institucional del ente para propiciar cambios e innovaciones en la calidad de vida de sus habitantes. La recategorización del municipio, su alta dependencia de los ingresos corrientes de libre destinación y las deficiencias en la gestión pública han restringido la eficacia en la planificación y ejecución de políticas territoriales.</w:t>
      </w:r>
    </w:p>
    <w:p w14:paraId="000004DB" w14:textId="77777777" w:rsidR="00663CDF" w:rsidRDefault="00F71B39">
      <w:pPr>
        <w:pStyle w:val="Normal0"/>
        <w:spacing w:after="160" w:line="360" w:lineRule="auto"/>
      </w:pPr>
      <w:r>
        <w:t xml:space="preserve">En este contexto, el presente capítulo tiene como objetivo formular un conjunto de recomendaciones orientadas al mejoramiento continuo del proceso de categorización y la gestión pública municipal. Dichas recomendaciones se fundamentan en los hallazgos obtenidos en los capítulos anteriores, en el marco normativo vigente, las mejores prácticas en administración pública y gestión territorial. En particular, se proponen estrategias para fortalecer la autonomía fiscal, mejorar la eficiencia del gasto público, optimizar la inversión social y articular las políticas locales con los Objetivos de Desarrollo Sostenible (ODS), viabilizando un enfoque integral y sostenible del desarrollo territorial. </w:t>
      </w:r>
    </w:p>
    <w:p w14:paraId="000004DC" w14:textId="77777777" w:rsidR="00663CDF" w:rsidRDefault="00F71B39">
      <w:pPr>
        <w:pStyle w:val="Normal0"/>
        <w:spacing w:after="160" w:line="360" w:lineRule="auto"/>
      </w:pPr>
      <w:r>
        <w:rPr>
          <w:b/>
        </w:rPr>
        <w:t>5.1. Fortalecimiento de la capacidad de planeación local</w:t>
      </w:r>
    </w:p>
    <w:p w14:paraId="000004DD" w14:textId="77777777" w:rsidR="00663CDF" w:rsidRDefault="00F71B39">
      <w:pPr>
        <w:pStyle w:val="Normal0"/>
        <w:spacing w:after="160" w:line="360" w:lineRule="auto"/>
      </w:pPr>
      <w:r>
        <w:t>Uno de los principales retos que enfrenta Turbaco tras su recategorización es la necesidad de consolidar una estructura técnica e institucional robusta que permita diseñar, formular y ejecutar proyectos con enfoque territorial. Este fortalecimiento debe comenzar por la formación continua del talento humano vinculado a la administración pública, con especial énfasis en la Secretaría de Planeación. Se recomienda:</w:t>
      </w:r>
    </w:p>
    <w:p w14:paraId="000004DE" w14:textId="77777777" w:rsidR="00663CDF" w:rsidRDefault="00F71B39">
      <w:pPr>
        <w:pStyle w:val="Normal0"/>
        <w:numPr>
          <w:ilvl w:val="0"/>
          <w:numId w:val="12"/>
        </w:numPr>
        <w:spacing w:after="160" w:line="360" w:lineRule="auto"/>
      </w:pPr>
      <w:r>
        <w:t>Diseñar un programa de formación permanente en sistemas de información territorial, gestión del riesgo, planeación prospectiva, formulación de proyectos, seguimiento y monitoreo al Plan de Desarrollo y POT</w:t>
      </w:r>
    </w:p>
    <w:p w14:paraId="000004DF" w14:textId="77777777" w:rsidR="00663CDF" w:rsidRDefault="00F71B39">
      <w:pPr>
        <w:pStyle w:val="Normal0"/>
        <w:numPr>
          <w:ilvl w:val="0"/>
          <w:numId w:val="12"/>
        </w:numPr>
        <w:spacing w:after="160" w:line="360" w:lineRule="auto"/>
      </w:pPr>
      <w:r>
        <w:lastRenderedPageBreak/>
        <w:t>Celebrar convenios con universidades públicas y centros de investigación regional para acompañamiento técnico en las áreas reseñadas.</w:t>
      </w:r>
    </w:p>
    <w:p w14:paraId="000004E0" w14:textId="77777777" w:rsidR="00663CDF" w:rsidRDefault="00F71B39">
      <w:pPr>
        <w:pStyle w:val="Normal0"/>
        <w:numPr>
          <w:ilvl w:val="0"/>
          <w:numId w:val="12"/>
        </w:numPr>
        <w:spacing w:after="160" w:line="360" w:lineRule="auto"/>
      </w:pPr>
      <w:r>
        <w:t>Establecer una Unidad de Formulación y Seguimiento de Proyectos que articule las dependencias municipales.</w:t>
      </w:r>
    </w:p>
    <w:p w14:paraId="000004E1" w14:textId="77777777" w:rsidR="00663CDF" w:rsidRDefault="00F71B39">
      <w:pPr>
        <w:pStyle w:val="Normal0"/>
        <w:spacing w:after="160" w:line="360" w:lineRule="auto"/>
      </w:pPr>
      <w:r>
        <w:t>Estas acciones permitirían avanzar hacia un “Sistema de Planeación Territorial” tal como lo exige la normatividad vigente, donde interactúen el Plan de Ordenamiento Territorial, Plan de Desarrollo, Planes Sectoriales y Megaproyectos. De igual manera facilita la calidad de los proyectos presentados al Sistema General de Regalías y a fuentes de cooperación, mejorando la tasa de aprobación y ejecución de recursos. Los efectos esperados incluyen una mayor efectividad del gasto y una planificación más alineada con las necesidades reales del territorio. Su implementación puede proyectarse en el mediano plazo (1 a 2 años).</w:t>
      </w:r>
    </w:p>
    <w:p w14:paraId="000004E2" w14:textId="77777777" w:rsidR="00663CDF" w:rsidRDefault="00F71B39">
      <w:pPr>
        <w:pStyle w:val="Normal0"/>
        <w:spacing w:after="160" w:line="360" w:lineRule="auto"/>
      </w:pPr>
      <w:r>
        <w:rPr>
          <w:b/>
        </w:rPr>
        <w:t>5.2. Modernización del sistema de recaudo y fortalecimiento de la cultura tributaria</w:t>
      </w:r>
    </w:p>
    <w:p w14:paraId="000004E3" w14:textId="77777777" w:rsidR="00663CDF" w:rsidRDefault="00F71B39">
      <w:pPr>
        <w:pStyle w:val="Normal0"/>
        <w:spacing w:after="160" w:line="360" w:lineRule="auto"/>
      </w:pPr>
      <w:r>
        <w:t xml:space="preserve">El bajo nivel de ingresos propios limita la autonomía fiscal del municipio, lo cual obstaculiza el financiamiento de programas de inversión social. Se propone una politica fiscal desde la estructuración </w:t>
      </w:r>
      <w:r>
        <w:rPr>
          <w:b/>
          <w:sz w:val="23"/>
          <w:szCs w:val="23"/>
        </w:rPr>
        <w:t>de un Marco Fisca</w:t>
      </w:r>
      <w:r>
        <w:rPr>
          <w:sz w:val="23"/>
          <w:szCs w:val="23"/>
        </w:rPr>
        <w:t xml:space="preserve">l de mediano plazo que revise el estado actual de: ingresos, egresos, la deuda y pasivos contingentes. Adicionalmente como acciones se precisan.  </w:t>
      </w:r>
    </w:p>
    <w:p w14:paraId="000004E4" w14:textId="77777777" w:rsidR="00663CDF" w:rsidRDefault="00F71B39">
      <w:pPr>
        <w:pStyle w:val="Normal0"/>
        <w:numPr>
          <w:ilvl w:val="0"/>
          <w:numId w:val="13"/>
        </w:numPr>
        <w:spacing w:after="160" w:line="360" w:lineRule="auto"/>
      </w:pPr>
      <w:r>
        <w:t>Actualización catastral con enfoque multipropósito, en articulación con el IGAC.</w:t>
      </w:r>
    </w:p>
    <w:p w14:paraId="000004E5" w14:textId="77777777" w:rsidR="00663CDF" w:rsidRDefault="00F71B39">
      <w:pPr>
        <w:pStyle w:val="Normal0"/>
        <w:numPr>
          <w:ilvl w:val="0"/>
          <w:numId w:val="13"/>
        </w:numPr>
        <w:spacing w:after="160" w:line="360" w:lineRule="auto"/>
      </w:pPr>
      <w:r>
        <w:t>Digitalización del sistema tributario y simplificación de trámites para el pago de impuestos.</w:t>
      </w:r>
    </w:p>
    <w:p w14:paraId="000004E6" w14:textId="77777777" w:rsidR="00663CDF" w:rsidRDefault="00F71B39">
      <w:pPr>
        <w:pStyle w:val="Normal0"/>
        <w:numPr>
          <w:ilvl w:val="0"/>
          <w:numId w:val="13"/>
        </w:numPr>
        <w:spacing w:after="160" w:line="360" w:lineRule="auto"/>
      </w:pPr>
      <w:r>
        <w:t>Campañas de sensibilización sobre cultura tributaria y beneficios del pago oportuno.</w:t>
      </w:r>
    </w:p>
    <w:p w14:paraId="000004E7" w14:textId="77777777" w:rsidR="00663CDF" w:rsidRDefault="00F71B39">
      <w:pPr>
        <w:pStyle w:val="Normal0"/>
        <w:numPr>
          <w:ilvl w:val="0"/>
          <w:numId w:val="13"/>
        </w:numPr>
        <w:spacing w:after="160" w:line="360" w:lineRule="auto"/>
      </w:pPr>
      <w:r>
        <w:t xml:space="preserve">Firma de convenios con la DIAN que permitan el acceso cruzado y automático a las declaraciones tributarias exógenas de los contribuyentes, a fin de verificar la veracidad de la información reportada y mejorar la fiscalización territorial del impuesto de industria y comercio. </w:t>
      </w:r>
    </w:p>
    <w:p w14:paraId="000004E8" w14:textId="77777777" w:rsidR="00663CDF" w:rsidRDefault="00F71B39">
      <w:pPr>
        <w:pStyle w:val="Normal0"/>
        <w:spacing w:after="160" w:line="360" w:lineRule="auto"/>
      </w:pPr>
      <w:r>
        <w:t xml:space="preserve"> La creación del </w:t>
      </w:r>
      <w:r>
        <w:rPr>
          <w:b/>
        </w:rPr>
        <w:t>Sistema Fiscal y Financiero como</w:t>
      </w:r>
      <w:r>
        <w:t xml:space="preserve"> responsable para el direccionamiento de la economía pública territorial, específicamente el manejo de los procesos de: Presupuesto, deuda pública, Concesiones de servicios y Alianzas Públicos Privadas. Este conjunto de medidas podría implementarse en el corto plazo (6 meses a 1 año), y su impacto sería medible en el aumento sostenido del IPU y del ICA, fortaleciendo la base fiscal del municipio y su capacidad para autofinanciar servicios.</w:t>
      </w:r>
    </w:p>
    <w:p w14:paraId="000004E9" w14:textId="77777777" w:rsidR="00663CDF" w:rsidRDefault="00F71B39">
      <w:pPr>
        <w:pStyle w:val="Normal0"/>
        <w:spacing w:after="160" w:line="360" w:lineRule="auto"/>
      </w:pPr>
      <w:r>
        <w:rPr>
          <w:b/>
        </w:rPr>
        <w:t>5.3. Priorización social de la inversión pública con enfoque diferencial y territorializado</w:t>
      </w:r>
    </w:p>
    <w:p w14:paraId="000004EA" w14:textId="77777777" w:rsidR="00663CDF" w:rsidRDefault="00F71B39">
      <w:pPr>
        <w:pStyle w:val="Normal0"/>
        <w:spacing w:after="160" w:line="360" w:lineRule="auto"/>
      </w:pPr>
      <w:r>
        <w:t>La inversión pública debe orientarse a reducir las brechas sociales y territoriales dentro del municipio. En este sentido, se recomienda:</w:t>
      </w:r>
    </w:p>
    <w:p w14:paraId="000004EB" w14:textId="77777777" w:rsidR="00663CDF" w:rsidRDefault="00F71B39">
      <w:pPr>
        <w:pStyle w:val="Normal0"/>
        <w:numPr>
          <w:ilvl w:val="0"/>
          <w:numId w:val="14"/>
        </w:numPr>
        <w:spacing w:after="160" w:line="360" w:lineRule="auto"/>
      </w:pPr>
      <w:r>
        <w:t>Integrar variables de estratificación socioeconómica, niveles de pobreza multidimensional y carencias estructurales en el sistema de priorización de proyectos. Complementariamente fortalecer los mecanismos de veeduría ciudadana y control social sobre la ejecución presupuestal.</w:t>
      </w:r>
    </w:p>
    <w:p w14:paraId="000004EC" w14:textId="77777777" w:rsidR="00663CDF" w:rsidRDefault="00F71B39">
      <w:pPr>
        <w:pStyle w:val="Normal0"/>
        <w:numPr>
          <w:ilvl w:val="0"/>
          <w:numId w:val="14"/>
        </w:numPr>
        <w:spacing w:after="160" w:line="360" w:lineRule="auto"/>
      </w:pPr>
      <w:r>
        <w:t>Implementar presupuestos participativos que incluyan mesas zonales de decisión, especialmente en corregimientos y sectores urbanos de alta vulnerabilidad.</w:t>
      </w:r>
    </w:p>
    <w:p w14:paraId="000004ED" w14:textId="77777777" w:rsidR="00663CDF" w:rsidRDefault="00F71B39">
      <w:pPr>
        <w:pStyle w:val="Normal0"/>
        <w:spacing w:after="160" w:line="360" w:lineRule="auto"/>
        <w:ind w:left="360"/>
      </w:pPr>
      <w:r>
        <w:rPr>
          <w:sz w:val="23"/>
          <w:szCs w:val="23"/>
        </w:rPr>
        <w:t xml:space="preserve">Avanzar en la constitución </w:t>
      </w:r>
      <w:r>
        <w:t xml:space="preserve">del </w:t>
      </w:r>
      <w:r>
        <w:rPr>
          <w:b/>
        </w:rPr>
        <w:t xml:space="preserve">Sistema de Protección Municipal, </w:t>
      </w:r>
      <w:r>
        <w:t>lo cual incluye</w:t>
      </w:r>
      <w:r>
        <w:rPr>
          <w:b/>
          <w:sz w:val="23"/>
          <w:szCs w:val="23"/>
        </w:rPr>
        <w:t xml:space="preserve"> </w:t>
      </w:r>
      <w:r>
        <w:t xml:space="preserve">articular la gestión </w:t>
      </w:r>
      <w:proofErr w:type="gramStart"/>
      <w:r>
        <w:t>en</w:t>
      </w:r>
      <w:r>
        <w:rPr>
          <w:b/>
          <w:sz w:val="23"/>
          <w:szCs w:val="23"/>
        </w:rPr>
        <w:t xml:space="preserve"> :</w:t>
      </w:r>
      <w:proofErr w:type="gramEnd"/>
      <w:r>
        <w:rPr>
          <w:b/>
          <w:sz w:val="23"/>
          <w:szCs w:val="23"/>
        </w:rPr>
        <w:t xml:space="preserve"> </w:t>
      </w:r>
      <w:r>
        <w:rPr>
          <w:sz w:val="23"/>
          <w:szCs w:val="23"/>
        </w:rPr>
        <w:t xml:space="preserve">Salud, Educación y  Población Vulnerable, posibilitando sí una mayor capacidad de gestión gubernamental sobre la base de establecer procesos de seguimiento, monitoreo y evaluación de las políticas públicas territoriales. </w:t>
      </w:r>
      <w:r>
        <w:t>Estas medidas podrían tener cambios y efectos en la percepción de justicia distributiva, fortaleciendo el vínculo entre la administración local y la ciudadanía. La implementación puede estructurarse en fases, iniciando con pilotos zonales durante el primer año.</w:t>
      </w:r>
    </w:p>
    <w:p w14:paraId="000004EE" w14:textId="77777777" w:rsidR="00663CDF" w:rsidRDefault="00F71B39">
      <w:pPr>
        <w:pStyle w:val="Normal0"/>
        <w:spacing w:after="160" w:line="360" w:lineRule="auto"/>
      </w:pPr>
      <w:r>
        <w:rPr>
          <w:b/>
        </w:rPr>
        <w:t>5.4. Enfoque ambiental en la inversión y el ordenamiento territorial</w:t>
      </w:r>
    </w:p>
    <w:p w14:paraId="000004EF" w14:textId="77777777" w:rsidR="00663CDF" w:rsidRDefault="00F71B39">
      <w:pPr>
        <w:pStyle w:val="Normal0"/>
        <w:spacing w:after="160" w:line="360" w:lineRule="auto"/>
      </w:pPr>
      <w:r>
        <w:t>Una de las omisiones detectadas en los planes municipales ha sido el enfoque ambiental como eje articulador del desarrollo urbano. Turbaco ha experimentado un crecimiento desordenado que presiona los ecosistemas locales y la infraestructura existente. Se recomienda:</w:t>
      </w:r>
    </w:p>
    <w:p w14:paraId="000004F0" w14:textId="77777777" w:rsidR="00663CDF" w:rsidRDefault="00F71B39">
      <w:pPr>
        <w:pStyle w:val="Normal0"/>
        <w:numPr>
          <w:ilvl w:val="0"/>
          <w:numId w:val="15"/>
        </w:numPr>
        <w:spacing w:after="160" w:line="360" w:lineRule="auto"/>
      </w:pPr>
      <w:r>
        <w:t>Formular un Plan de Infraestructura Verde que contemple reforestación urbana, zonas amortiguadoras y corredores ecológicos.</w:t>
      </w:r>
    </w:p>
    <w:p w14:paraId="000004F1" w14:textId="77777777" w:rsidR="00663CDF" w:rsidRDefault="00F71B39">
      <w:pPr>
        <w:pStyle w:val="Normal0"/>
        <w:numPr>
          <w:ilvl w:val="0"/>
          <w:numId w:val="15"/>
        </w:numPr>
        <w:spacing w:after="160" w:line="360" w:lineRule="auto"/>
      </w:pPr>
      <w:r>
        <w:t>Incluir criterios de sostenibilidad ambiental en la priorización de obras civiles, como viviendas, vías y equipamientos.</w:t>
      </w:r>
    </w:p>
    <w:p w14:paraId="000004F2" w14:textId="77777777" w:rsidR="00663CDF" w:rsidRDefault="00F71B39">
      <w:pPr>
        <w:pStyle w:val="Normal0"/>
        <w:numPr>
          <w:ilvl w:val="0"/>
          <w:numId w:val="15"/>
        </w:numPr>
        <w:spacing w:after="160" w:line="360" w:lineRule="auto"/>
      </w:pPr>
      <w:r>
        <w:t>Fortalecer la educación ambiental comunitaria y la gestión participativa de zonas protegidas.</w:t>
      </w:r>
    </w:p>
    <w:p w14:paraId="000004F3" w14:textId="77777777" w:rsidR="00663CDF" w:rsidRDefault="00F71B39">
      <w:pPr>
        <w:pStyle w:val="Normal0"/>
        <w:spacing w:after="160" w:line="360" w:lineRule="auto"/>
      </w:pPr>
      <w:r>
        <w:t>Estas acciones pueden implementarse de forma progresiva en articulación con el POT vigente y la Secretaría de Planeación, con un horizonte de mediano y largo plazo (2 a 3 años). El impacto incluye mitigación del deterioro ambiental y mejora en la calidad de vida urbana.</w:t>
      </w:r>
    </w:p>
    <w:p w14:paraId="000004F4" w14:textId="77777777" w:rsidR="00663CDF" w:rsidRDefault="00F71B39">
      <w:pPr>
        <w:pStyle w:val="Normal0"/>
        <w:spacing w:after="160" w:line="360" w:lineRule="auto"/>
      </w:pPr>
      <w:r>
        <w:rPr>
          <w:b/>
        </w:rPr>
        <w:t>5.5. Creación de un sistema de indicadores de seguimiento a la gestión local</w:t>
      </w:r>
    </w:p>
    <w:p w14:paraId="000004F5" w14:textId="77777777" w:rsidR="00663CDF" w:rsidRDefault="00F71B39">
      <w:pPr>
        <w:pStyle w:val="Normal0"/>
        <w:spacing w:after="160" w:line="360" w:lineRule="auto"/>
      </w:pPr>
      <w:r>
        <w:t>Para garantizar una administración más transparente, eficiente y orientada a resultados, se propone diseñar un sistema de monitoreo basado en indicadores propios del municipio (Línea Base</w:t>
      </w:r>
      <w:proofErr w:type="gramStart"/>
      <w:r>
        <w:t>) .</w:t>
      </w:r>
      <w:proofErr w:type="gramEnd"/>
      <w:r>
        <w:t xml:space="preserve"> Este sistema debe contemplar:</w:t>
      </w:r>
    </w:p>
    <w:p w14:paraId="000004F6" w14:textId="77777777" w:rsidR="00663CDF" w:rsidRDefault="00F71B39">
      <w:pPr>
        <w:pStyle w:val="Normal0"/>
        <w:numPr>
          <w:ilvl w:val="0"/>
          <w:numId w:val="16"/>
        </w:numPr>
        <w:spacing w:after="160" w:line="360" w:lineRule="auto"/>
      </w:pPr>
      <w:r>
        <w:t>Indicadores de autonomía fiscal (porcentaje de ingresos propios sobre totales, comportamiento del IPU e ICA).</w:t>
      </w:r>
    </w:p>
    <w:p w14:paraId="000004F7" w14:textId="77777777" w:rsidR="00663CDF" w:rsidRDefault="00F71B39">
      <w:pPr>
        <w:pStyle w:val="Normal0"/>
        <w:numPr>
          <w:ilvl w:val="0"/>
          <w:numId w:val="16"/>
        </w:numPr>
        <w:spacing w:after="160" w:line="360" w:lineRule="auto"/>
      </w:pPr>
      <w:r>
        <w:t>Indicadores de cobertura de servicios básicos (salud, educación, agua potable, saneamiento).</w:t>
      </w:r>
    </w:p>
    <w:p w14:paraId="000004F8" w14:textId="77777777" w:rsidR="00663CDF" w:rsidRDefault="00F71B39">
      <w:pPr>
        <w:pStyle w:val="Normal0"/>
        <w:numPr>
          <w:ilvl w:val="0"/>
          <w:numId w:val="16"/>
        </w:numPr>
        <w:spacing w:after="160" w:line="360" w:lineRule="auto"/>
      </w:pPr>
      <w:r>
        <w:t>Indicadores de participación ciudadana (número de espacios de concertación, nivel de ejecución de presupuestos participativos).</w:t>
      </w:r>
    </w:p>
    <w:p w14:paraId="000004F9" w14:textId="77777777" w:rsidR="00663CDF" w:rsidRDefault="00F71B39">
      <w:pPr>
        <w:pStyle w:val="Normal0"/>
        <w:spacing w:after="160" w:line="360" w:lineRule="auto"/>
      </w:pPr>
      <w:r>
        <w:t>Se recomienda la creación de una unidad técnica dentro de Planeación Municipal que se encargue de consolidar esta información y publicarla de manera periódica. Esto permitirá una toma de decisiones basada en evidencia y una rendición de cuentas real ante la ciudadanía. Su implementación podría iniciar en menos de un año con recursos propios y apoyo técnico externo.</w:t>
      </w:r>
    </w:p>
    <w:p w14:paraId="000004FA" w14:textId="77777777" w:rsidR="00663CDF" w:rsidRDefault="00F71B39">
      <w:pPr>
        <w:pStyle w:val="Normal0"/>
        <w:spacing w:after="160" w:line="360" w:lineRule="auto"/>
      </w:pPr>
      <w:r>
        <w:rPr>
          <w:b/>
        </w:rPr>
        <w:t>5.6. Enfoque ambiental en la inversión y el ordenamiento territorial</w:t>
      </w:r>
    </w:p>
    <w:p w14:paraId="000004FB" w14:textId="77777777" w:rsidR="00663CDF" w:rsidRDefault="00F71B39">
      <w:pPr>
        <w:pStyle w:val="Normal0"/>
        <w:spacing w:after="160" w:line="360" w:lineRule="auto"/>
      </w:pPr>
      <w:r>
        <w:t>A pesar de que el crecimiento urbano desordenado constituye uno de los elementos centrales del diagnóstico, hasta ahora la gestión ambiental ha sido un aspecto escasamente abordado dentro de las recomendaciones de política pública municipal. La falta de planificación ambiental integrada y la expansión informal del perímetro urbano de Turbaco han generado presiones sobre los ecosistemas, pérdida de cobertura vegetal y aumento en los niveles de vulnerabilidad ante eventos naturales. Por ello, se plantea la necesidad de incorporar un enfoque ambiental transversal en el desarrollo territorial del municipio. Se recomienda:</w:t>
      </w:r>
    </w:p>
    <w:p w14:paraId="000004FC" w14:textId="77777777" w:rsidR="00663CDF" w:rsidRDefault="00F71B39">
      <w:pPr>
        <w:pStyle w:val="Normal0"/>
        <w:numPr>
          <w:ilvl w:val="0"/>
          <w:numId w:val="17"/>
        </w:numPr>
        <w:spacing w:after="160" w:line="360" w:lineRule="auto"/>
      </w:pPr>
      <w:r>
        <w:rPr>
          <w:b/>
        </w:rPr>
        <w:t>Formulación de un Plan de Infraestructura Verde</w:t>
      </w:r>
      <w:r>
        <w:t>, que defina zonas de protección, reforestación urbana, corredores ecológicos y áreas verdes funcionales articuladas con el uso del suelo. A esto se agrega un control a la explotación minera –Canteras- y sus derivados, a partir de un censo de las actuales licencias de explotación y concesiones vigentes. De especial interés la Zona de Matute y ecosistemas adyacentes.</w:t>
      </w:r>
    </w:p>
    <w:p w14:paraId="000004FD" w14:textId="77777777" w:rsidR="00663CDF" w:rsidRDefault="00F71B39">
      <w:pPr>
        <w:pStyle w:val="Normal0"/>
        <w:numPr>
          <w:ilvl w:val="0"/>
          <w:numId w:val="17"/>
        </w:numPr>
        <w:spacing w:after="160" w:line="360" w:lineRule="auto"/>
      </w:pPr>
      <w:r>
        <w:rPr>
          <w:b/>
        </w:rPr>
        <w:t>Inclusión de criterios de sostenibilidad ambiental</w:t>
      </w:r>
      <w:r>
        <w:t xml:space="preserve"> en los procesos de priorización y ejecución de obras civiles, especialmente aquellas que impacten el territorio de manera estructural, como vías, redes de alcantarillado, viviendas de interés social o equipamientos comunitarios.</w:t>
      </w:r>
    </w:p>
    <w:p w14:paraId="000004FE" w14:textId="77777777" w:rsidR="00663CDF" w:rsidRDefault="00F71B39">
      <w:pPr>
        <w:pStyle w:val="Normal0"/>
        <w:numPr>
          <w:ilvl w:val="0"/>
          <w:numId w:val="17"/>
        </w:numPr>
        <w:spacing w:after="160" w:line="360" w:lineRule="auto"/>
      </w:pPr>
      <w:r>
        <w:rPr>
          <w:b/>
        </w:rPr>
        <w:t>Revisión del Plan de Ordenamiento Territorial (POT)</w:t>
      </w:r>
      <w:r>
        <w:t xml:space="preserve"> incorporando elementos de zonificación ambiental, límites de expansión urbana, y cargas urbanísticas con enfoque ecológico.</w:t>
      </w:r>
    </w:p>
    <w:p w14:paraId="000004FF" w14:textId="77777777" w:rsidR="00663CDF" w:rsidRDefault="00F71B39">
      <w:pPr>
        <w:pStyle w:val="Normal0"/>
        <w:numPr>
          <w:ilvl w:val="0"/>
          <w:numId w:val="17"/>
        </w:numPr>
        <w:spacing w:after="160" w:line="360" w:lineRule="auto"/>
      </w:pPr>
      <w:r>
        <w:rPr>
          <w:b/>
        </w:rPr>
        <w:t>Educación ambiental comunitaria</w:t>
      </w:r>
      <w:r>
        <w:t>, promoviendo la corresponsabilidad ciudadana mediante campañas educativas, jornadas de limpieza de microcuencas y procesos de reciclaje local.</w:t>
      </w:r>
    </w:p>
    <w:p w14:paraId="00000500" w14:textId="77777777" w:rsidR="00663CDF" w:rsidRDefault="00F71B39">
      <w:pPr>
        <w:pStyle w:val="Normal0"/>
        <w:spacing w:after="160" w:line="360" w:lineRule="auto"/>
      </w:pPr>
      <w:r>
        <w:t>El horizonte de implementación de estas acciones puede establecerse a mediano y largo plazo (2 a 3 años), articulando esfuerzos entre la Secretaría de Planeación, Secretaría de Infraestructura, la Oficina de Gestión del Riesgo, autoridades ambientales regionales como CARDIQUE y la sociedad civil. La inclusión efectiva del enfoque ambiental permitirá a Turbaco avanzar hacia un modelo de desarrollo territorial sostenible, resiliente y respetuoso con los límites ecológicos del territorio.</w:t>
      </w:r>
    </w:p>
    <w:p w14:paraId="00000501" w14:textId="77777777" w:rsidR="00663CDF" w:rsidRDefault="00F71B39">
      <w:pPr>
        <w:pStyle w:val="Ttulo1"/>
        <w:spacing w:line="360" w:lineRule="auto"/>
      </w:pPr>
      <w:bookmarkStart w:id="66" w:name="_heading=h.b19edcpzkaug" w:colFirst="0" w:colLast="0"/>
      <w:bookmarkEnd w:id="66"/>
      <w:r>
        <w:t>6. CONCLUSIONES.</w:t>
      </w:r>
    </w:p>
    <w:p w14:paraId="00000502" w14:textId="77777777" w:rsidR="00663CDF" w:rsidRDefault="00F71B39">
      <w:pPr>
        <w:pStyle w:val="Normal0"/>
        <w:spacing w:after="160" w:line="360" w:lineRule="auto"/>
      </w:pPr>
      <w:r>
        <w:t>La presente investigación tuvo como objetivo analizar la incidencia de la categorización municipal en la gestión pública y el desarrollo social del municipio de Turbaco durante el período 2016-2023. Se buscó establecer en qué medida las políticas de descentralización y categorización han impactado la autonomía financiera, la asignación y ejecución de recursos públicos, la eficiencia en la prestación de bienes y servicios esenciales y, en consecuencia, la calidad de vida de la población.</w:t>
      </w:r>
    </w:p>
    <w:p w14:paraId="00000503" w14:textId="77777777" w:rsidR="00663CDF" w:rsidRDefault="00663CDF">
      <w:pPr>
        <w:pStyle w:val="Normal0"/>
        <w:spacing w:after="160" w:line="360" w:lineRule="auto"/>
      </w:pPr>
    </w:p>
    <w:p w14:paraId="00000504" w14:textId="77777777" w:rsidR="00663CDF" w:rsidRDefault="00F71B39">
      <w:pPr>
        <w:pStyle w:val="Ttulo3"/>
        <w:spacing w:line="360" w:lineRule="auto"/>
      </w:pPr>
      <w:bookmarkStart w:id="67" w:name="_heading=h.3e9iafwn1he" w:colFirst="0" w:colLast="0"/>
      <w:bookmarkEnd w:id="67"/>
      <w:r>
        <w:t>6.1 Principales hallazgos</w:t>
      </w:r>
    </w:p>
    <w:p w14:paraId="00000505" w14:textId="77777777" w:rsidR="00663CDF" w:rsidRDefault="00F71B39">
      <w:pPr>
        <w:pStyle w:val="Normal0"/>
        <w:spacing w:after="160" w:line="360" w:lineRule="auto"/>
      </w:pPr>
      <w:r>
        <w:t>Los hallazgos de la investigación evidencian que la categorización municipal ha influido significativamente en la estructura de la gestión pública en Turbaco, principalmente en su capacidad de inversión y en la sostenibilidad fiscal del territorio. Si bien la descentralización ha otorgado un mayor grado de autonomía administrativa al municipio, no ha representado una mejora sustancial en su independencia financiera. La estructura de ingresos sigue mostrando una marcada dependencia de las transferencias del Sistema General de Participaciones (SGP), lo que limita la flexibilidad presupuestal y la capacidad del ente territorial para definir estrategias de desarrollo local sin condicionamientos externos.</w:t>
      </w:r>
    </w:p>
    <w:p w14:paraId="00000506" w14:textId="77777777" w:rsidR="00663CDF" w:rsidRDefault="00F71B39">
      <w:pPr>
        <w:pStyle w:val="Normal0"/>
        <w:spacing w:after="160" w:line="360" w:lineRule="auto"/>
        <w:ind w:firstLine="708"/>
      </w:pPr>
      <w:r>
        <w:t>Desde la perspectiva de la gestión financiera, el análisis de los ingresos corrientes de libre destinación (ICLD) mostró una evolución positiva en términos absolutos, con un crecimiento sostenido a lo largo del período analizado. Sin embargo, la proporción de estos ingresos respecto al total del presupuesto municipal sigue siendo insuficiente para garantizar una autonomía fiscal efectiva. A pesar de las estrategias implementadas para fortalecer el recaudo del impuesto predial y del impuesto de industria y comercio (ICA), estos tributos no han logrado compensar la alta dependencia de las transferencias intergubernamentales. Esta situación evidencia que la recategorización no se ha traducido en una verdadera consolidación de la capacidad fiscal del municipio, lo que sugiere la necesidad de revisar los criterios normativos que rigen la categorización municipal en Colombia.</w:t>
      </w:r>
    </w:p>
    <w:p w14:paraId="00000507" w14:textId="77777777" w:rsidR="00663CDF" w:rsidRDefault="00F71B39">
      <w:pPr>
        <w:pStyle w:val="Normal0"/>
        <w:spacing w:after="160" w:line="360" w:lineRule="auto"/>
        <w:ind w:firstLine="708"/>
      </w:pPr>
      <w:r>
        <w:t>En cuanto a la eficiencia en la asignación y ejecución del gasto, los resultados indican que el municipio ha cumplido con los límites de gasto de funcionamiento establecidos en la Ley 617 de 2000, con variaciones en los porcentajes de cobertura de estos gastos que han oscilado entre el 61% y el 80% de los ICLD durante el período de análisis. No obstante, se identificó que este cumplimiento ha implicado restricciones significativas en la inversión en infraestructura y programas sociales, lo que ha afectado negativamente la provisión de bienes y servicios esenciales. Sectores como salud, educación y saneamiento básico han sido los más afectados, con una ejecución presupuestal limitada debido a la prioridad dada al gasto de funcionamiento.</w:t>
      </w:r>
    </w:p>
    <w:p w14:paraId="00000508" w14:textId="77777777" w:rsidR="00663CDF" w:rsidRDefault="00F71B39">
      <w:pPr>
        <w:pStyle w:val="Normal0"/>
        <w:spacing w:after="160" w:line="360" w:lineRule="auto"/>
        <w:ind w:firstLine="708"/>
      </w:pPr>
      <w:r>
        <w:t>En términos de desarrollo social, se encontró que la categorización ha tenido una incidencia heterogénea en la calidad de vida de los habitantes de Turbaco. Mientras que en el sector educativo se ha observado una mejora en la cobertura y en la infraestructura escolar, en otros sectores como saneamiento básico y acceso a agua potable persisten deficiencias estructurales, especialmente en la zona rural del municipio. La segmentación territorial de la inversión ha generado brechas en la equidad del acceso a bienes públicos, lo que pone en evidencia las limitaciones de la actual estructura de financiamiento municipal para garantizar un desarrollo equilibrado.</w:t>
      </w:r>
    </w:p>
    <w:p w14:paraId="00000509" w14:textId="77777777" w:rsidR="00663CDF" w:rsidRDefault="00F71B39">
      <w:pPr>
        <w:pStyle w:val="Normal0"/>
        <w:spacing w:after="160" w:line="360" w:lineRule="auto"/>
        <w:ind w:firstLine="708"/>
      </w:pPr>
      <w:r>
        <w:t>Desde la perspectiva de la gobernanza y la participación ciudadana, los hallazgos indican una baja incidencia de la comunidad en la planificación y toma de decisiones públicas. La desconexión entre la administración local y la ciudadanía ha generado una percepción de desconfianza en la gestión pública, lo que a su vez afecta la legitimidad y eficacia de las políticas implementadas. Este aspecto constituye una barrera para el desarrollo territorial sostenible, ya que limita la co-creación de soluciones a los problemas estructurales del municipio.</w:t>
      </w:r>
    </w:p>
    <w:p w14:paraId="0000050A" w14:textId="77777777" w:rsidR="00663CDF" w:rsidRDefault="00F71B39">
      <w:pPr>
        <w:pStyle w:val="Ttulo3"/>
        <w:spacing w:line="360" w:lineRule="auto"/>
      </w:pPr>
      <w:bookmarkStart w:id="68" w:name="_heading=h.n7zk61x9i7n8" w:colFirst="0" w:colLast="0"/>
      <w:bookmarkEnd w:id="68"/>
      <w:r>
        <w:t>6.2 Limitaciones del estudio</w:t>
      </w:r>
    </w:p>
    <w:p w14:paraId="0000050B" w14:textId="77777777" w:rsidR="00663CDF" w:rsidRDefault="00F71B39">
      <w:pPr>
        <w:pStyle w:val="Normal0"/>
        <w:spacing w:after="160" w:line="360" w:lineRule="auto"/>
      </w:pPr>
      <w:r>
        <w:t>A lo largo del desarrollo de la investigación, se identificaron diversas limitaciones que influyeron en el alcance de los resultados. En primer lugar, la disponibilidad de información financiera detallada a nivel local representó un desafío, ya que en algunos casos los registros oficiales no contenían datos desagregados sobre la ejecución del gasto en proyectos específicos. Además, la falta de transparencia y accesibilidad de ciertos documentos públicos limitó la posibilidad de realizar un análisis más exhaustivo de la distribución del presupuesto municipal.</w:t>
      </w:r>
    </w:p>
    <w:p w14:paraId="0000050C" w14:textId="77777777" w:rsidR="00663CDF" w:rsidRDefault="00F71B39">
      <w:pPr>
        <w:pStyle w:val="Normal0"/>
        <w:spacing w:after="160" w:line="360" w:lineRule="auto"/>
        <w:ind w:firstLine="708"/>
      </w:pPr>
      <w:r>
        <w:t>Otra limitación importante fue la incidencia de factores externos, como la pandemia de COVID-19, en la ejecución presupuestal y en la dinámica económica del municipio. La crisis sanitaria alteró las prioridades del gasto público y afectó la capacidad de generación de ingresos propios, lo que puede haber distorsionado algunos de los indicadores financieros analizados. Asimismo, el período de estudio abarcó dos administraciones municipales distintas, lo que implica que ciertos cambios en la gestión pueden atribuirse más a variaciones en las estrategias de gobierno que a la categorización municipal en sí misma.</w:t>
      </w:r>
    </w:p>
    <w:p w14:paraId="0000050D" w14:textId="77777777" w:rsidR="00663CDF" w:rsidRDefault="00F71B39">
      <w:pPr>
        <w:pStyle w:val="Normal0"/>
        <w:spacing w:after="160" w:line="360" w:lineRule="auto"/>
        <w:ind w:firstLine="708"/>
      </w:pPr>
      <w:r>
        <w:t>Finalmente, la muestra de participantes en las entrevistas si bien es representativa dentro de las limitaciones metodológicas, no puede considerarse completamente exhaustiva. La percepción ciudadana sobre la gestión pública varía según factores socioeconómicos y geográficos, por lo que una ampliación de la muestra podría enriquecer futuros análisis sobre la incidencia de la categorización en la vida cotidiana de los habitantes de Turbaco. No obstante, los testimonios recolectados a través de entrevistas abiertas ofrecieron información valiosa para el análisis de discernimiento ciudadano, enriqueciendo el componente interpretativo de la investigación. Se sugiere que futuras investigaciones incorporen metodologías más sistemáticas como análisis narrativo, matrices de codificación, y herramientas digitales de análisis cualitativo asistido por software (CAQDAS).</w:t>
      </w:r>
    </w:p>
    <w:p w14:paraId="0000050E" w14:textId="77777777" w:rsidR="00663CDF" w:rsidRDefault="00F71B39">
      <w:pPr>
        <w:pStyle w:val="Ttulo3"/>
        <w:spacing w:line="360" w:lineRule="auto"/>
      </w:pPr>
      <w:bookmarkStart w:id="69" w:name="_heading=h.ozpycsn9zg5y" w:colFirst="0" w:colLast="0"/>
      <w:bookmarkEnd w:id="69"/>
      <w:r>
        <w:t>6.3 Recomendaciones para futuras investigaciones y políticas públicas</w:t>
      </w:r>
    </w:p>
    <w:p w14:paraId="0000050F" w14:textId="77777777" w:rsidR="00663CDF" w:rsidRDefault="00F71B39">
      <w:pPr>
        <w:pStyle w:val="Normal0"/>
        <w:spacing w:after="160" w:line="360" w:lineRule="auto"/>
      </w:pPr>
      <w:r>
        <w:t>Con base en los hallazgos de esta investigación, se plantean las siguientes recomendaciones para mejorar la gestión pública en municipios categorizados y para futuras investigaciones sobre el tema:</w:t>
      </w:r>
    </w:p>
    <w:p w14:paraId="00000510" w14:textId="77777777" w:rsidR="00663CDF" w:rsidRDefault="00F71B39">
      <w:pPr>
        <w:pStyle w:val="Normal0"/>
        <w:numPr>
          <w:ilvl w:val="0"/>
          <w:numId w:val="10"/>
        </w:numPr>
        <w:spacing w:after="160" w:line="360" w:lineRule="auto"/>
        <w:ind w:left="426"/>
      </w:pPr>
      <w:r>
        <w:rPr>
          <w:b/>
        </w:rPr>
        <w:t>Revisión de los criterios de categorización municipal</w:t>
      </w:r>
      <w:r>
        <w:t>: Se recomienda que el proceso de categorización no se base únicamente en indicadores fiscales y demográficos, sino que incorpore variables de desarrollo social y capacidad institucional. Esto permitiría una asignación de recursos más equitativa y alineada con las necesidades reales de los municipios.</w:t>
      </w:r>
    </w:p>
    <w:p w14:paraId="00000511" w14:textId="77777777" w:rsidR="00663CDF" w:rsidRDefault="00F71B39">
      <w:pPr>
        <w:pStyle w:val="Normal0"/>
        <w:numPr>
          <w:ilvl w:val="0"/>
          <w:numId w:val="10"/>
        </w:numPr>
        <w:spacing w:after="160" w:line="360" w:lineRule="auto"/>
        <w:ind w:left="426"/>
      </w:pPr>
      <w:r>
        <w:rPr>
          <w:b/>
        </w:rPr>
        <w:t>Fortalecimiento de la autonomía fiscal</w:t>
      </w:r>
      <w:r>
        <w:t>: Es imperativo implementar estrategias que reduzcan la dependencia de las transferencias nacionales. Esto incluye una optimización en la gestión del recaudo de tributos locales, la ampliación de la base impositiva y el desarrollo de mecanismos de generación de ingresos alternativos.</w:t>
      </w:r>
    </w:p>
    <w:p w14:paraId="00000512" w14:textId="77777777" w:rsidR="00663CDF" w:rsidRDefault="00F71B39">
      <w:pPr>
        <w:pStyle w:val="Normal0"/>
        <w:numPr>
          <w:ilvl w:val="0"/>
          <w:numId w:val="10"/>
        </w:numPr>
        <w:spacing w:after="160" w:line="360" w:lineRule="auto"/>
        <w:ind w:left="426"/>
      </w:pPr>
      <w:r>
        <w:rPr>
          <w:b/>
        </w:rPr>
        <w:t>Optimización del gasto público</w:t>
      </w:r>
      <w:r>
        <w:t>: Se requiere una mayor eficiencia en la ejecución del presupuesto, priorizando la inversión en infraestructura y servicios básicos esenciales. Esto implica la adopción de metodologías de planificación presupuestal basadas en resultados y la implementación de mecanismos de seguimiento y evaluación más rigurosos.</w:t>
      </w:r>
    </w:p>
    <w:p w14:paraId="00000513" w14:textId="77777777" w:rsidR="00663CDF" w:rsidRDefault="00F71B39">
      <w:pPr>
        <w:pStyle w:val="Normal0"/>
        <w:numPr>
          <w:ilvl w:val="0"/>
          <w:numId w:val="10"/>
        </w:numPr>
        <w:spacing w:after="160" w:line="360" w:lineRule="auto"/>
        <w:ind w:left="426"/>
      </w:pPr>
      <w:bookmarkStart w:id="70" w:name="_heading=h.lwfiy6ktu1u4" w:colFirst="0" w:colLast="0"/>
      <w:bookmarkEnd w:id="70"/>
      <w:r>
        <w:rPr>
          <w:b/>
        </w:rPr>
        <w:t>Mejoramiento de la participación ciudadana en la gestión pública</w:t>
      </w:r>
      <w:r>
        <w:t>: Es necesario fomentar espacios de concertación y consulta que permitan una mayor incidencia de la comunidad en la toma de decisiones. La implementación de herramientas de gobierno abierto y mecanismos de presupuestacion participativa podría contribuir a fortalecer la transparencia y la legitimidad de la administración municipal.</w:t>
      </w:r>
    </w:p>
    <w:p w14:paraId="00000514" w14:textId="77777777" w:rsidR="00663CDF" w:rsidRDefault="00F71B39">
      <w:pPr>
        <w:pStyle w:val="Normal0"/>
        <w:numPr>
          <w:ilvl w:val="0"/>
          <w:numId w:val="10"/>
        </w:numPr>
        <w:spacing w:after="160" w:line="360" w:lineRule="auto"/>
        <w:ind w:left="426"/>
      </w:pPr>
      <w:r>
        <w:rPr>
          <w:b/>
        </w:rPr>
        <w:t>Profundización en estudios sobre descentralización fiscal y desarrollo social</w:t>
      </w:r>
      <w:r>
        <w:t>: Futuras investigaciones podrían enfocarse en comparar la experiencia de Turbaco con la de otros municipios de categoría similar, a fin de identificar patrones comunes y mejores prácticas que puedan ser replicadas en distintos contextos territoriales.</w:t>
      </w:r>
    </w:p>
    <w:p w14:paraId="00000515" w14:textId="77777777" w:rsidR="00663CDF" w:rsidRDefault="00F71B39">
      <w:pPr>
        <w:pStyle w:val="Normal0"/>
        <w:numPr>
          <w:ilvl w:val="0"/>
          <w:numId w:val="10"/>
        </w:numPr>
        <w:spacing w:after="160" w:line="360" w:lineRule="auto"/>
        <w:ind w:left="426"/>
      </w:pPr>
      <w:r>
        <w:rPr>
          <w:b/>
          <w:highlight w:val="white"/>
        </w:rPr>
        <w:t>Replanteamiento del modelo nacional de categorización municipal</w:t>
      </w:r>
      <w:r>
        <w:rPr>
          <w:highlight w:val="white"/>
        </w:rPr>
        <w:t>: A la luz de las discusiones recientes sobre autonomía territorial, resulta pertinente que futuras investigaciones examinen la necesidad de una reforma administrativa que permita avanzar hacia un esquema más flexible y diferenciado de organización del Estado. Como lo ha señalado Jorge Iván González (2025), exdirector del Departamento Nacional de Planeación de Colombia, una transformación estructural en los criterios de categorización permitiría dejar atrás el modelo homogenizante centrado en la población, y adoptar una clasificación basada en la densidad poblacional, las distancias territoriales, los activos ambientales y la capacidad administrativa. Este enfoque recuperaría el espíritu de descentralización establecido en la Constitución de 1991 y respondería de manera más eficaz a las realidades diversas del territorio colombiano, especialmente en municipios pequeños o en proceso de despoblamiento. Asimismo, abriría la puerta a una redistribución más equitativa de competencias y recursos entre nación, departamentos y entidades locales.</w:t>
      </w:r>
    </w:p>
    <w:p w14:paraId="00000516" w14:textId="77777777" w:rsidR="00663CDF" w:rsidRDefault="00663CDF">
      <w:pPr>
        <w:pStyle w:val="Normal0"/>
        <w:spacing w:after="160" w:line="360" w:lineRule="auto"/>
      </w:pPr>
    </w:p>
    <w:p w14:paraId="00000517" w14:textId="77777777" w:rsidR="00663CDF" w:rsidRDefault="00663CDF">
      <w:pPr>
        <w:pStyle w:val="Normal0"/>
        <w:spacing w:after="160" w:line="360" w:lineRule="auto"/>
      </w:pPr>
    </w:p>
    <w:p w14:paraId="00000518" w14:textId="77777777" w:rsidR="00663CDF" w:rsidRDefault="00663CDF">
      <w:pPr>
        <w:pStyle w:val="Normal0"/>
        <w:spacing w:after="160" w:line="360" w:lineRule="auto"/>
      </w:pPr>
    </w:p>
    <w:p w14:paraId="00000519" w14:textId="77777777" w:rsidR="00663CDF" w:rsidRDefault="00663CDF">
      <w:pPr>
        <w:pStyle w:val="Normal0"/>
        <w:spacing w:after="160" w:line="360" w:lineRule="auto"/>
      </w:pPr>
    </w:p>
    <w:p w14:paraId="0000051A" w14:textId="77777777" w:rsidR="00663CDF" w:rsidRDefault="00663CDF">
      <w:pPr>
        <w:pStyle w:val="Normal0"/>
        <w:spacing w:after="160" w:line="360" w:lineRule="auto"/>
      </w:pPr>
    </w:p>
    <w:p w14:paraId="0000051B" w14:textId="77777777" w:rsidR="00663CDF" w:rsidRDefault="00663CDF">
      <w:pPr>
        <w:pStyle w:val="Normal0"/>
        <w:spacing w:after="160" w:line="360" w:lineRule="auto"/>
      </w:pPr>
    </w:p>
    <w:p w14:paraId="0000051C" w14:textId="77777777" w:rsidR="00663CDF" w:rsidRDefault="00663CDF">
      <w:pPr>
        <w:pStyle w:val="Normal0"/>
        <w:spacing w:after="160" w:line="360" w:lineRule="auto"/>
      </w:pPr>
    </w:p>
    <w:p w14:paraId="0000051D" w14:textId="77777777" w:rsidR="00663CDF" w:rsidRDefault="00663CDF">
      <w:pPr>
        <w:pStyle w:val="Normal0"/>
        <w:spacing w:after="160" w:line="360" w:lineRule="auto"/>
      </w:pPr>
    </w:p>
    <w:p w14:paraId="0000051E" w14:textId="77777777" w:rsidR="00663CDF" w:rsidRDefault="00F71B39">
      <w:pPr>
        <w:pStyle w:val="Ttulo1"/>
        <w:spacing w:line="360" w:lineRule="auto"/>
      </w:pPr>
      <w:bookmarkStart w:id="71" w:name="_heading=h.alq58ujidjho" w:colFirst="0" w:colLast="0"/>
      <w:bookmarkEnd w:id="71"/>
      <w:r>
        <w:t>7.REFERENCIAS BIBLIOGRÁFICAS</w:t>
      </w:r>
    </w:p>
    <w:p w14:paraId="0000051F" w14:textId="77777777" w:rsidR="00663CDF" w:rsidRDefault="00F71B39">
      <w:pPr>
        <w:pStyle w:val="Normal0"/>
        <w:widowControl w:val="0"/>
        <w:pBdr>
          <w:top w:val="nil"/>
          <w:left w:val="nil"/>
          <w:bottom w:val="nil"/>
          <w:right w:val="nil"/>
          <w:between w:val="nil"/>
        </w:pBdr>
        <w:spacing w:line="360" w:lineRule="auto"/>
        <w:ind w:left="360" w:hanging="709"/>
      </w:pPr>
      <w:r>
        <w:t>Acosta, C. L. M., Cabarcas, M. A. M., Gónima, V. L. X., &amp; Pautt, C. L. (2013). ¿Y Dónde Están Los Jóvenes En Turbaco? Análisis Desde La Comunicación Ciudadana Que Propone La Visibilización Y El Desarrollo De Nuevas Formas De Narrar Las Perspectivas Y Apuestas De Los Jóvenes.</w:t>
      </w:r>
    </w:p>
    <w:p w14:paraId="00000520" w14:textId="77777777" w:rsidR="00663CDF" w:rsidRDefault="00F71B39">
      <w:pPr>
        <w:pStyle w:val="Normal0"/>
        <w:widowControl w:val="0"/>
        <w:pBdr>
          <w:top w:val="nil"/>
          <w:left w:val="nil"/>
          <w:bottom w:val="nil"/>
          <w:right w:val="nil"/>
          <w:between w:val="nil"/>
        </w:pBdr>
        <w:spacing w:line="360" w:lineRule="auto"/>
        <w:ind w:left="360" w:hanging="709"/>
      </w:pPr>
      <w:r>
        <w:t>Aghón, G. E. (1993). Descentralización fiscal: marco conceptual. Serie política f iscal 44. Comisión Económica para América Latina y el Caribe CEPAL. Recuperado de: https://repositorio.cepal.org/bitstream/handle/11362/9485/1/ S9300147_es.pdf</w:t>
      </w:r>
    </w:p>
    <w:p w14:paraId="00000521" w14:textId="77777777" w:rsidR="00663CDF" w:rsidRDefault="00F71B39">
      <w:pPr>
        <w:pStyle w:val="Normal0"/>
        <w:widowControl w:val="0"/>
        <w:pBdr>
          <w:top w:val="nil"/>
          <w:left w:val="nil"/>
          <w:bottom w:val="nil"/>
          <w:right w:val="nil"/>
          <w:between w:val="nil"/>
        </w:pBdr>
        <w:spacing w:line="360" w:lineRule="auto"/>
        <w:ind w:left="360" w:hanging="709"/>
      </w:pPr>
      <w:r>
        <w:t>Agnew, John. 2018. "Evolution of the Regional Concept." En Handbook on the Geographies of Regions and Territories, editado por Anssi Paasi, John Harrison y Martin Jones, 23-33. Cheltenham, UK y Northampton, MA, USA: Edward Elgar Publishing</w:t>
      </w:r>
    </w:p>
    <w:p w14:paraId="00000522" w14:textId="77777777" w:rsidR="00663CDF" w:rsidRDefault="00F71B39">
      <w:pPr>
        <w:pStyle w:val="Normal0"/>
        <w:widowControl w:val="0"/>
        <w:pBdr>
          <w:top w:val="nil"/>
          <w:left w:val="nil"/>
          <w:bottom w:val="nil"/>
          <w:right w:val="nil"/>
          <w:between w:val="nil"/>
        </w:pBdr>
        <w:spacing w:line="360" w:lineRule="auto"/>
        <w:ind w:left="360" w:hanging="709"/>
      </w:pPr>
      <w:r>
        <w:t>Alburquerque, F., &amp; Pérez, R. S. (2022). EL DESARROLLO TERRITORIAL: ENFOQUE, CONTENIDO Y POLÍTICAS. Iberoamericana de Gobierno Local, 21, 1–24.</w:t>
      </w:r>
    </w:p>
    <w:p w14:paraId="00000523"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Municipal de Turbaco &amp; Asociación de Municipios de la Subregión del Canal del Dique – ASODIQUE. (2022). </w:t>
      </w:r>
      <w:r>
        <w:rPr>
          <w:i/>
        </w:rPr>
        <w:t>Plan de Ordenamiento Territorial del municipio de Turbaco 2022–2034: Diagnóstico territorial</w:t>
      </w:r>
      <w:r>
        <w:t>. Secretaría de Planeación Municipal.</w:t>
      </w:r>
    </w:p>
    <w:p w14:paraId="00000524"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de Turbaco. (2016). </w:t>
      </w:r>
      <w:r>
        <w:rPr>
          <w:i/>
        </w:rPr>
        <w:t>Plan de Desarrollo 2016-2019: Hagamos de Turbaco la ciudad que queremos y nos merecemos</w:t>
      </w:r>
      <w:r>
        <w:t>​. Plan de Desarrollo 2016-2019.</w:t>
      </w:r>
    </w:p>
    <w:p w14:paraId="00000525"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Municipal de Turbaco. (2016). </w:t>
      </w:r>
      <w:r>
        <w:rPr>
          <w:i/>
        </w:rPr>
        <w:t>Decreto No. 197 de 2016, por el cual se corrigen errores contenidos en el Decreto 0008 de julio 29 de 2016 y se establece la planta de personal de la administración central del municipio de Turbaco</w:t>
      </w:r>
      <w:r>
        <w:t xml:space="preserve">. </w:t>
      </w:r>
      <w:hyperlink r:id="rId14">
        <w:r>
          <w:rPr>
            <w:color w:val="000000"/>
            <w:u w:val="single"/>
          </w:rPr>
          <w:t>https://www.turbaco-bolivar.gov.co/NuestraAlcaldia/PublishingImages/Paginas/Organigrama/DECRETO%20197%20PLANTA%20DE%20PERSONAL.pdf</w:t>
        </w:r>
      </w:hyperlink>
    </w:p>
    <w:p w14:paraId="00000526"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Municipal de Turbaco. (2016). </w:t>
      </w:r>
      <w:r>
        <w:rPr>
          <w:i/>
        </w:rPr>
        <w:t>Decreto No. 196 de 2016, por el cual se adopta la estructura orgánica de la administración central del municipio de Turbaco</w:t>
      </w:r>
      <w:r>
        <w:t xml:space="preserve">. </w:t>
      </w:r>
      <w:hyperlink r:id="rId15">
        <w:r>
          <w:rPr>
            <w:color w:val="000000"/>
            <w:u w:val="single"/>
          </w:rPr>
          <w:t>https://www.turbaco-bolivar.gov.co/NuestraAlcaldia/PublishingImages/Paginas/Organigrama/DECRETO%20196%20ESTRUCTURA%20ORGANICA.pdf</w:t>
        </w:r>
      </w:hyperlink>
    </w:p>
    <w:p w14:paraId="00000527"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de Turbaco. (2020). </w:t>
      </w:r>
      <w:r>
        <w:rPr>
          <w:i/>
        </w:rPr>
        <w:t>Plan de Desarrollo 2020-2023: Hacia la Prosperidad con Valores</w:t>
      </w:r>
      <w:r>
        <w:t>​. Plan de Desarrollo 2020-2023.</w:t>
      </w:r>
    </w:p>
    <w:p w14:paraId="00000528"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de Turbaco. (2021). </w:t>
      </w:r>
      <w:r>
        <w:rPr>
          <w:i/>
        </w:rPr>
        <w:t>Informe de Gestión y Cumplimiento del Plan de Desarrollo 2021</w:t>
      </w:r>
      <w:r>
        <w:t>​.</w:t>
      </w:r>
    </w:p>
    <w:p w14:paraId="00000529" w14:textId="77777777" w:rsidR="00663CDF" w:rsidRDefault="00F71B39">
      <w:pPr>
        <w:pStyle w:val="Normal0"/>
        <w:widowControl w:val="0"/>
        <w:pBdr>
          <w:top w:val="nil"/>
          <w:left w:val="nil"/>
          <w:bottom w:val="nil"/>
          <w:right w:val="nil"/>
          <w:between w:val="nil"/>
        </w:pBdr>
        <w:spacing w:line="360" w:lineRule="auto"/>
        <w:ind w:left="360" w:hanging="709"/>
      </w:pPr>
      <w:r>
        <w:t xml:space="preserve">Alcaldía de Turbaco. (2023). </w:t>
      </w:r>
      <w:r>
        <w:rPr>
          <w:i/>
        </w:rPr>
        <w:t>Informe de Empalme 2023-2024</w:t>
      </w:r>
      <w:r>
        <w:t>​.</w:t>
      </w:r>
    </w:p>
    <w:p w14:paraId="0000052A" w14:textId="77777777" w:rsidR="00663CDF" w:rsidRDefault="00F71B39">
      <w:pPr>
        <w:pStyle w:val="Normal0"/>
        <w:widowControl w:val="0"/>
        <w:pBdr>
          <w:top w:val="nil"/>
          <w:left w:val="nil"/>
          <w:bottom w:val="nil"/>
          <w:right w:val="nil"/>
          <w:between w:val="nil"/>
        </w:pBdr>
        <w:spacing w:line="360" w:lineRule="auto"/>
        <w:ind w:left="360" w:hanging="709"/>
      </w:pPr>
      <w:r>
        <w:t>Alvarado, J. (2012). El Control Interno de una Empresa Comercial. Guatemala: Prentice Hall.</w:t>
      </w:r>
    </w:p>
    <w:p w14:paraId="0000052B" w14:textId="77777777" w:rsidR="00663CDF" w:rsidRDefault="00F71B39">
      <w:pPr>
        <w:pStyle w:val="Normal0"/>
        <w:widowControl w:val="0"/>
        <w:pBdr>
          <w:top w:val="nil"/>
          <w:left w:val="nil"/>
          <w:bottom w:val="nil"/>
          <w:right w:val="nil"/>
          <w:between w:val="nil"/>
        </w:pBdr>
        <w:spacing w:line="360" w:lineRule="auto"/>
        <w:ind w:left="360" w:hanging="709"/>
      </w:pPr>
      <w:r>
        <w:t>Álvarez, A., &amp; Figueri, V. (2002). Viabilidad del Modelo Regional en el Ordenamiento Territorial Colombiano. (Tesis de grado) Pontificia Universidad Javeriana, Facultad de Ciencias Jurídicas.</w:t>
      </w:r>
    </w:p>
    <w:p w14:paraId="0000052C" w14:textId="77777777" w:rsidR="00663CDF" w:rsidRDefault="00F71B39">
      <w:pPr>
        <w:pStyle w:val="Normal0"/>
        <w:widowControl w:val="0"/>
        <w:pBdr>
          <w:top w:val="nil"/>
          <w:left w:val="nil"/>
          <w:bottom w:val="nil"/>
          <w:right w:val="nil"/>
          <w:between w:val="nil"/>
        </w:pBdr>
        <w:spacing w:line="360" w:lineRule="auto"/>
        <w:ind w:left="360" w:hanging="709"/>
      </w:pPr>
      <w:r>
        <w:t xml:space="preserve">Arias Rubio, J. K. (2022, enero-junio). La administración y la gestión financiera en el sector público: posibles estrategias en el manejo de los recursos. Revista Reflexiones y Saberes, (16),82-89 </w:t>
      </w:r>
    </w:p>
    <w:p w14:paraId="0000052D" w14:textId="77777777" w:rsidR="00663CDF" w:rsidRDefault="00F71B39">
      <w:pPr>
        <w:pStyle w:val="Normal0"/>
        <w:widowControl w:val="0"/>
        <w:pBdr>
          <w:top w:val="nil"/>
          <w:left w:val="nil"/>
          <w:bottom w:val="nil"/>
          <w:right w:val="nil"/>
          <w:between w:val="nil"/>
        </w:pBdr>
        <w:spacing w:line="360" w:lineRule="auto"/>
        <w:ind w:left="360" w:hanging="709"/>
      </w:pPr>
      <w:r>
        <w:t>Boadway, R. (2001). La necesidad de compartir los ingresos fiscales. Revista Internacional de Ciencias Sociales, 109-120.</w:t>
      </w:r>
    </w:p>
    <w:p w14:paraId="0000052E" w14:textId="77777777" w:rsidR="00663CDF" w:rsidRDefault="00F71B39">
      <w:pPr>
        <w:pStyle w:val="Normal0"/>
        <w:widowControl w:val="0"/>
        <w:pBdr>
          <w:top w:val="nil"/>
          <w:left w:val="nil"/>
          <w:bottom w:val="nil"/>
          <w:right w:val="nil"/>
          <w:between w:val="nil"/>
        </w:pBdr>
        <w:spacing w:line="360" w:lineRule="auto"/>
        <w:ind w:left="360" w:hanging="709"/>
      </w:pPr>
      <w:r>
        <w:t>Borja, J. (1987). Dimensiones teóricas, problemas y perspectivas de la descentralización del Estado. ici, flacsu y clacso, Santiago de Chile.</w:t>
      </w:r>
    </w:p>
    <w:p w14:paraId="0000052F" w14:textId="77777777" w:rsidR="00663CDF" w:rsidRDefault="00F71B39">
      <w:pPr>
        <w:pStyle w:val="Normal0"/>
        <w:widowControl w:val="0"/>
        <w:pBdr>
          <w:top w:val="nil"/>
          <w:left w:val="nil"/>
          <w:bottom w:val="nil"/>
          <w:right w:val="nil"/>
          <w:between w:val="nil"/>
        </w:pBdr>
        <w:spacing w:line="360" w:lineRule="auto"/>
        <w:ind w:left="360" w:hanging="709"/>
      </w:pPr>
      <w:r>
        <w:t>Bozeman, Barry. (1993), Public Management, The state of Art, Jossey-Bass, California.</w:t>
      </w:r>
    </w:p>
    <w:p w14:paraId="00000530" w14:textId="77777777" w:rsidR="00663CDF" w:rsidRDefault="00F71B39">
      <w:pPr>
        <w:pStyle w:val="Normal0"/>
        <w:widowControl w:val="0"/>
        <w:pBdr>
          <w:top w:val="nil"/>
          <w:left w:val="nil"/>
          <w:bottom w:val="nil"/>
          <w:right w:val="nil"/>
          <w:between w:val="nil"/>
        </w:pBdr>
        <w:spacing w:line="360" w:lineRule="auto"/>
        <w:ind w:left="360" w:hanging="709"/>
      </w:pPr>
      <w:r>
        <w:t>Bozeman, Barry. (1998), La Gestión Pública su Situación Actual. México. FCE-UAT-CNCPyAP, A.C.</w:t>
      </w:r>
    </w:p>
    <w:p w14:paraId="00000531" w14:textId="77777777" w:rsidR="00663CDF" w:rsidRDefault="00F71B39">
      <w:pPr>
        <w:pStyle w:val="Normal0"/>
        <w:widowControl w:val="0"/>
        <w:pBdr>
          <w:top w:val="nil"/>
          <w:left w:val="nil"/>
          <w:bottom w:val="nil"/>
          <w:right w:val="nil"/>
          <w:between w:val="nil"/>
        </w:pBdr>
        <w:spacing w:line="360" w:lineRule="auto"/>
        <w:ind w:left="360" w:hanging="709"/>
      </w:pPr>
      <w:r>
        <w:t>Bozeman, Barry. (1998), Todas las Organizaciones son Públicas: Tendiendo un Puente entre las teorías corporativas privadas y públicas. México. CNCPyAP, AC/FCE.</w:t>
      </w:r>
    </w:p>
    <w:p w14:paraId="00000532" w14:textId="77777777" w:rsidR="00663CDF" w:rsidRDefault="00F71B39">
      <w:pPr>
        <w:pStyle w:val="Normal0"/>
        <w:widowControl w:val="0"/>
        <w:pBdr>
          <w:top w:val="nil"/>
          <w:left w:val="nil"/>
          <w:bottom w:val="nil"/>
          <w:right w:val="nil"/>
          <w:between w:val="nil"/>
        </w:pBdr>
        <w:spacing w:line="360" w:lineRule="auto"/>
        <w:ind w:left="360" w:hanging="709"/>
      </w:pPr>
      <w:r>
        <w:t>Brever, C. A. (2011). "Política, Estado y Administración Pública". Caracas, Venezuela: Editorial Ateneo.</w:t>
      </w:r>
    </w:p>
    <w:p w14:paraId="00000533" w14:textId="77777777" w:rsidR="00663CDF" w:rsidRDefault="00F71B39">
      <w:pPr>
        <w:pStyle w:val="Normal0"/>
        <w:widowControl w:val="0"/>
        <w:pBdr>
          <w:top w:val="nil"/>
          <w:left w:val="nil"/>
          <w:bottom w:val="nil"/>
          <w:right w:val="nil"/>
          <w:between w:val="nil"/>
        </w:pBdr>
        <w:spacing w:line="360" w:lineRule="auto"/>
        <w:ind w:left="360" w:hanging="709"/>
      </w:pPr>
      <w:r>
        <w:t>Cabrero, P. y. (2008). New Public management para construir una New Públic Governance. El caso de los Gobiernos locales en México. México: Colegio de México.</w:t>
      </w:r>
    </w:p>
    <w:p w14:paraId="00000534" w14:textId="77777777" w:rsidR="00663CDF" w:rsidRDefault="00F71B39">
      <w:pPr>
        <w:pStyle w:val="Normal0"/>
        <w:widowControl w:val="0"/>
        <w:pBdr>
          <w:top w:val="nil"/>
          <w:left w:val="nil"/>
          <w:bottom w:val="nil"/>
          <w:right w:val="nil"/>
          <w:between w:val="nil"/>
        </w:pBdr>
        <w:spacing w:line="360" w:lineRule="auto"/>
        <w:ind w:left="360" w:hanging="709"/>
      </w:pPr>
      <w:r>
        <w:t>Cardona, Juan Davis &amp; Villegas, Andrés. (2022). Estabilidad financiera para el Municipio de Medellín: análisis de un modelo de estimación</w:t>
      </w:r>
    </w:p>
    <w:p w14:paraId="00000535" w14:textId="77777777" w:rsidR="00663CDF" w:rsidRDefault="00F71B39">
      <w:pPr>
        <w:pStyle w:val="Normal0"/>
        <w:widowControl w:val="0"/>
        <w:pBdr>
          <w:top w:val="nil"/>
          <w:left w:val="nil"/>
          <w:bottom w:val="nil"/>
          <w:right w:val="nil"/>
          <w:between w:val="nil"/>
        </w:pBdr>
        <w:spacing w:line="360" w:lineRule="auto"/>
        <w:ind w:left="360" w:hanging="709"/>
      </w:pPr>
      <w:r>
        <w:t>Carrasco. (2011). investigación denominada Estudio Sobre Implementación de Gestión Basada en Procesos en Banco Estado. Santiago de Chile: s/.</w:t>
      </w:r>
    </w:p>
    <w:p w14:paraId="00000536" w14:textId="77777777" w:rsidR="00663CDF" w:rsidRDefault="00F71B39">
      <w:pPr>
        <w:pStyle w:val="Normal0"/>
        <w:widowControl w:val="0"/>
        <w:pBdr>
          <w:top w:val="nil"/>
          <w:left w:val="nil"/>
          <w:bottom w:val="nil"/>
          <w:right w:val="nil"/>
          <w:between w:val="nil"/>
        </w:pBdr>
        <w:spacing w:line="360" w:lineRule="auto"/>
        <w:ind w:left="360" w:hanging="709"/>
      </w:pPr>
      <w:r>
        <w:t>Centrágolo, Oscar y Goldschmit, Ariela. (2013). La descentralización y el financiamiento de políticas sociales eficaces: impactos, desafíos y reformas. El caso de la Argentina. División de Desarrollo Económico de la Comisión Económica para América Latina y el Caribe (CEPAL), en el marco de las actividades del proyecto CEPAL/GIZ: Servicios públicos y descentralización fiscal (GER/10/006).</w:t>
      </w:r>
    </w:p>
    <w:p w14:paraId="00000537" w14:textId="77777777" w:rsidR="00663CDF" w:rsidRDefault="00F71B39">
      <w:pPr>
        <w:pStyle w:val="Normal0"/>
        <w:widowControl w:val="0"/>
        <w:pBdr>
          <w:top w:val="nil"/>
          <w:left w:val="nil"/>
          <w:bottom w:val="nil"/>
          <w:right w:val="nil"/>
          <w:between w:val="nil"/>
        </w:pBdr>
        <w:spacing w:line="360" w:lineRule="auto"/>
        <w:ind w:left="360" w:hanging="709"/>
      </w:pPr>
      <w:r>
        <w:t>CEPAL. (n.d.). Desarrollo territorial.</w:t>
      </w:r>
    </w:p>
    <w:p w14:paraId="00000538" w14:textId="77777777" w:rsidR="00663CDF" w:rsidRDefault="00F71B39">
      <w:pPr>
        <w:pStyle w:val="Normal0"/>
        <w:widowControl w:val="0"/>
        <w:pBdr>
          <w:top w:val="nil"/>
          <w:left w:val="nil"/>
          <w:bottom w:val="nil"/>
          <w:right w:val="nil"/>
          <w:between w:val="nil"/>
        </w:pBdr>
        <w:spacing w:line="360" w:lineRule="auto"/>
        <w:ind w:left="360" w:hanging="709"/>
      </w:pPr>
      <w:r>
        <w:t>Chacón, W. (2002). El control interno como herramienta fundamental contable y controladora de las organizaciones. Fulldocs.</w:t>
      </w:r>
    </w:p>
    <w:p w14:paraId="00000539" w14:textId="77777777" w:rsidR="00663CDF" w:rsidRDefault="00F71B39">
      <w:pPr>
        <w:pStyle w:val="Normal0"/>
        <w:widowControl w:val="0"/>
        <w:pBdr>
          <w:top w:val="nil"/>
          <w:left w:val="nil"/>
          <w:bottom w:val="nil"/>
          <w:right w:val="nil"/>
          <w:between w:val="nil"/>
        </w:pBdr>
        <w:spacing w:line="360" w:lineRule="auto"/>
        <w:ind w:left="360" w:hanging="709"/>
      </w:pPr>
      <w:r>
        <w:t xml:space="preserve">Chapi, P., &amp; Ojeda, A. (2017). Plan Contable General Empresarial y Estados Financieros. FFECAT Editorial. </w:t>
      </w:r>
    </w:p>
    <w:p w14:paraId="0000053A" w14:textId="77777777" w:rsidR="00663CDF" w:rsidRDefault="00F71B39">
      <w:pPr>
        <w:pStyle w:val="Normal0"/>
        <w:widowControl w:val="0"/>
        <w:pBdr>
          <w:top w:val="nil"/>
          <w:left w:val="nil"/>
          <w:bottom w:val="nil"/>
          <w:right w:val="nil"/>
          <w:between w:val="nil"/>
        </w:pBdr>
        <w:spacing w:line="360" w:lineRule="auto"/>
        <w:ind w:left="360" w:hanging="709"/>
      </w:pPr>
      <w:r>
        <w:t>Charry-Rodríguez, J. (2013). El control interno y los principios de evaluación de gestión en las entidades del Estado. Bogotá, Colombia.: Editorial Asociación colombiana de administradores-</w:t>
      </w:r>
    </w:p>
    <w:p w14:paraId="0000053B" w14:textId="77777777" w:rsidR="00663CDF" w:rsidRDefault="00F71B39">
      <w:pPr>
        <w:pStyle w:val="Normal0"/>
        <w:widowControl w:val="0"/>
        <w:pBdr>
          <w:top w:val="nil"/>
          <w:left w:val="nil"/>
          <w:bottom w:val="nil"/>
          <w:right w:val="nil"/>
          <w:between w:val="nil"/>
        </w:pBdr>
        <w:spacing w:line="360" w:lineRule="auto"/>
        <w:ind w:left="360" w:hanging="709"/>
      </w:pPr>
      <w:r>
        <w:t>Collazos, J. A., &amp; Romero, J. V. (2005). Evolución De Las Finanzas Municipales Del Valle Del Cauca Y La Efectividad De La Ley 617 Del 2000 1987 - 2003.</w:t>
      </w:r>
    </w:p>
    <w:p w14:paraId="0000053C" w14:textId="77777777" w:rsidR="00663CDF" w:rsidRDefault="00F71B39">
      <w:pPr>
        <w:pStyle w:val="Normal0"/>
        <w:widowControl w:val="0"/>
        <w:pBdr>
          <w:top w:val="nil"/>
          <w:left w:val="nil"/>
          <w:bottom w:val="nil"/>
          <w:right w:val="nil"/>
          <w:between w:val="nil"/>
        </w:pBdr>
        <w:spacing w:line="360" w:lineRule="auto"/>
        <w:ind w:left="360" w:hanging="709"/>
      </w:pPr>
      <w:r>
        <w:t>Concheiro Bórquez, Luciano, y Sergio Grajales Ventura. 2009. "Nueva ruralidad y desarrollo territorial. Una perspectiva desde los sujetos sociales." Veredas 10 (18): 145-167.</w:t>
      </w:r>
    </w:p>
    <w:p w14:paraId="0000053D" w14:textId="77777777" w:rsidR="00663CDF" w:rsidRDefault="00F71B39">
      <w:pPr>
        <w:pStyle w:val="Normal0"/>
        <w:widowControl w:val="0"/>
        <w:pBdr>
          <w:top w:val="nil"/>
          <w:left w:val="nil"/>
          <w:bottom w:val="nil"/>
          <w:right w:val="nil"/>
          <w:between w:val="nil"/>
        </w:pBdr>
        <w:spacing w:line="360" w:lineRule="auto"/>
        <w:ind w:left="360" w:hanging="709"/>
      </w:pPr>
      <w:r>
        <w:t>Congreso de Colombia. (2000, October 9). LEY 617 DE 2000.</w:t>
      </w:r>
    </w:p>
    <w:p w14:paraId="0000053E" w14:textId="77777777" w:rsidR="00663CDF" w:rsidRDefault="00F71B39">
      <w:pPr>
        <w:pStyle w:val="Normal0"/>
        <w:widowControl w:val="0"/>
        <w:pBdr>
          <w:top w:val="nil"/>
          <w:left w:val="nil"/>
          <w:bottom w:val="nil"/>
          <w:right w:val="nil"/>
          <w:between w:val="nil"/>
        </w:pBdr>
        <w:spacing w:line="360" w:lineRule="auto"/>
        <w:ind w:left="360" w:hanging="709"/>
      </w:pPr>
      <w:r>
        <w:t xml:space="preserve">Córdova, Marco. (2018). Gobernanza y Políticas Públicas. Universidad del Rosario &amp; FLACSO Ecuador. </w:t>
      </w:r>
    </w:p>
    <w:p w14:paraId="0000053F" w14:textId="77777777" w:rsidR="00663CDF" w:rsidRDefault="00F71B39">
      <w:pPr>
        <w:pStyle w:val="Normal0"/>
        <w:widowControl w:val="0"/>
        <w:pBdr>
          <w:top w:val="nil"/>
          <w:left w:val="nil"/>
          <w:bottom w:val="nil"/>
          <w:right w:val="nil"/>
          <w:between w:val="nil"/>
        </w:pBdr>
        <w:spacing w:line="360" w:lineRule="auto"/>
        <w:ind w:left="360" w:hanging="709"/>
      </w:pPr>
      <w:r>
        <w:t>Correa, N. (1990). Reflexiones sobre el municipio en la nueva constitución nacional. Colombia.</w:t>
      </w:r>
    </w:p>
    <w:p w14:paraId="00000540" w14:textId="77777777" w:rsidR="00663CDF" w:rsidRDefault="00F71B39">
      <w:pPr>
        <w:pStyle w:val="Normal0"/>
        <w:widowControl w:val="0"/>
        <w:pBdr>
          <w:top w:val="nil"/>
          <w:left w:val="nil"/>
          <w:bottom w:val="nil"/>
          <w:right w:val="nil"/>
          <w:between w:val="nil"/>
        </w:pBdr>
        <w:spacing w:line="360" w:lineRule="auto"/>
        <w:ind w:left="360" w:hanging="709"/>
      </w:pPr>
      <w:r>
        <w:t>DANE. (2021). Proyección de población municipales por área. Bogotá: DANE.</w:t>
      </w:r>
    </w:p>
    <w:p w14:paraId="00000541" w14:textId="77777777" w:rsidR="00663CDF" w:rsidRDefault="00F71B39">
      <w:pPr>
        <w:pStyle w:val="Normal0"/>
        <w:widowControl w:val="0"/>
        <w:pBdr>
          <w:top w:val="nil"/>
          <w:left w:val="nil"/>
          <w:bottom w:val="nil"/>
          <w:right w:val="nil"/>
          <w:between w:val="nil"/>
        </w:pBdr>
        <w:spacing w:line="360" w:lineRule="auto"/>
        <w:ind w:left="360" w:hanging="709"/>
      </w:pPr>
      <w:r>
        <w:t>DANE. (2022). Departamento Administrativo Nacional de Estadística. https://www.dane.gov.co/</w:t>
      </w:r>
    </w:p>
    <w:p w14:paraId="00000542" w14:textId="77777777" w:rsidR="00663CDF" w:rsidRDefault="00F71B39">
      <w:pPr>
        <w:pStyle w:val="Normal0"/>
        <w:widowControl w:val="0"/>
        <w:pBdr>
          <w:top w:val="nil"/>
          <w:left w:val="nil"/>
          <w:bottom w:val="nil"/>
          <w:right w:val="nil"/>
          <w:between w:val="nil"/>
        </w:pBdr>
        <w:spacing w:line="360" w:lineRule="auto"/>
        <w:ind w:left="360" w:hanging="709"/>
      </w:pPr>
      <w:r>
        <w:t xml:space="preserve">de ingresos tributarios. Universidad EAFIT.  </w:t>
      </w:r>
    </w:p>
    <w:p w14:paraId="00000543" w14:textId="77777777" w:rsidR="00663CDF" w:rsidRDefault="00F71B39">
      <w:pPr>
        <w:pStyle w:val="Normal0"/>
        <w:widowControl w:val="0"/>
        <w:pBdr>
          <w:top w:val="nil"/>
          <w:left w:val="nil"/>
          <w:bottom w:val="nil"/>
          <w:right w:val="nil"/>
          <w:between w:val="nil"/>
        </w:pBdr>
        <w:spacing w:line="360" w:lineRule="auto"/>
        <w:ind w:left="360" w:hanging="709"/>
      </w:pPr>
      <w:r>
        <w:t>Delgado Mahecha, Ovidio. 2003. Debates sobre el espacio en la geografía contemporánea. Bogotá: Universidad Nacional de Colombia, Unilibros</w:t>
      </w:r>
    </w:p>
    <w:p w14:paraId="00000544" w14:textId="77777777" w:rsidR="00663CDF" w:rsidRDefault="00F71B39">
      <w:pPr>
        <w:pStyle w:val="Normal0"/>
        <w:widowControl w:val="0"/>
        <w:pBdr>
          <w:top w:val="nil"/>
          <w:left w:val="nil"/>
          <w:bottom w:val="nil"/>
          <w:right w:val="nil"/>
          <w:between w:val="nil"/>
        </w:pBdr>
        <w:spacing w:line="360" w:lineRule="auto"/>
        <w:ind w:left="360" w:hanging="709"/>
      </w:pPr>
      <w:r>
        <w:t xml:space="preserve">Delgado, S. &amp; Acero, L. (2015). Análisis de la dependencia fiscal de los municipios de sexta categoría del departamento de Boyacá, durante el periodo 1996-2012. Apuntes del Cenes, 34(60), 215-246. doi: </w:t>
      </w:r>
      <w:hyperlink r:id="rId16">
        <w:r>
          <w:rPr>
            <w:color w:val="000000"/>
            <w:u w:val="single"/>
          </w:rPr>
          <w:t>https://doi.org/10.19053/22565779.3780</w:t>
        </w:r>
      </w:hyperlink>
    </w:p>
    <w:p w14:paraId="00000545" w14:textId="77777777" w:rsidR="00663CDF" w:rsidRDefault="00F71B39">
      <w:pPr>
        <w:pStyle w:val="Normal0"/>
        <w:widowControl w:val="0"/>
        <w:pBdr>
          <w:top w:val="nil"/>
          <w:left w:val="nil"/>
          <w:bottom w:val="nil"/>
          <w:right w:val="nil"/>
          <w:between w:val="nil"/>
        </w:pBdr>
        <w:spacing w:line="360" w:lineRule="auto"/>
        <w:ind w:left="360" w:hanging="709"/>
      </w:pPr>
      <w:r>
        <w:t xml:space="preserve">Departamento Administrativo Nacional de Estadística (DANE). (2020). </w:t>
      </w:r>
      <w:r>
        <w:rPr>
          <w:i/>
        </w:rPr>
        <w:t>Boletín Técnico de Pobreza Multidimensional en Colombia 2020</w:t>
      </w:r>
      <w:r>
        <w:t xml:space="preserve">. </w:t>
      </w:r>
      <w:hyperlink r:id="rId17">
        <w:r>
          <w:rPr>
            <w:color w:val="000000"/>
            <w:u w:val="single"/>
          </w:rPr>
          <w:t>https://www.dane.gov.co</w:t>
        </w:r>
      </w:hyperlink>
    </w:p>
    <w:p w14:paraId="00000546" w14:textId="77777777" w:rsidR="00663CDF" w:rsidRDefault="00F71B39">
      <w:pPr>
        <w:pStyle w:val="Normal0"/>
        <w:widowControl w:val="0"/>
        <w:pBdr>
          <w:top w:val="nil"/>
          <w:left w:val="nil"/>
          <w:bottom w:val="nil"/>
          <w:right w:val="nil"/>
          <w:between w:val="nil"/>
        </w:pBdr>
        <w:spacing w:line="360" w:lineRule="auto"/>
        <w:ind w:left="360" w:hanging="709"/>
        <w:rPr>
          <w:color w:val="000000"/>
          <w:u w:val="single"/>
        </w:rPr>
      </w:pPr>
      <w:r>
        <w:t xml:space="preserve">Departamento Administrativo Nacional de Estadística (DANE). (2023). </w:t>
      </w:r>
      <w:r>
        <w:rPr>
          <w:i/>
        </w:rPr>
        <w:t>Estimaciones de Población Municipal 2023</w:t>
      </w:r>
      <w:r>
        <w:t xml:space="preserve">. </w:t>
      </w:r>
      <w:hyperlink r:id="rId18">
        <w:r>
          <w:rPr>
            <w:color w:val="000000"/>
            <w:u w:val="single"/>
          </w:rPr>
          <w:t>https://www.dane.gov.co</w:t>
        </w:r>
      </w:hyperlink>
    </w:p>
    <w:p w14:paraId="00000547" w14:textId="77777777" w:rsidR="00663CDF" w:rsidRDefault="00F71B39">
      <w:pPr>
        <w:pStyle w:val="Normal0"/>
        <w:widowControl w:val="0"/>
        <w:pBdr>
          <w:top w:val="nil"/>
          <w:left w:val="nil"/>
          <w:bottom w:val="nil"/>
          <w:right w:val="nil"/>
          <w:between w:val="nil"/>
        </w:pBdr>
        <w:spacing w:line="360" w:lineRule="auto"/>
        <w:ind w:left="360" w:hanging="709"/>
      </w:pPr>
      <w:r>
        <w:t xml:space="preserve">Departamento Nacional de Planeación. (2024). </w:t>
      </w:r>
      <w:r>
        <w:rPr>
          <w:i/>
        </w:rPr>
        <w:t>Visor MDM por dimensiones: Turbaco, Bolívar (2016-2023)</w:t>
      </w:r>
      <w:r>
        <w:t xml:space="preserve"> [Sistema de Planeación Territorial - SisPT]. https://sispt.dnp.gov.co/visor-mdm</w:t>
      </w:r>
    </w:p>
    <w:p w14:paraId="00000548" w14:textId="77777777" w:rsidR="00663CDF" w:rsidRDefault="00F71B39">
      <w:pPr>
        <w:pStyle w:val="Normal0"/>
        <w:widowControl w:val="0"/>
        <w:pBdr>
          <w:top w:val="nil"/>
          <w:left w:val="nil"/>
          <w:bottom w:val="nil"/>
          <w:right w:val="nil"/>
          <w:between w:val="nil"/>
        </w:pBdr>
        <w:spacing w:line="360" w:lineRule="auto"/>
        <w:ind w:left="360" w:hanging="709"/>
      </w:pPr>
      <w:r>
        <w:t>Duque, F. (2017). Descentralización en Colombia: reflexiones sobre la categorización territorial. Revista Colombiana de Sociología, 40(1), 75-93.</w:t>
      </w:r>
    </w:p>
    <w:p w14:paraId="00000549" w14:textId="77777777" w:rsidR="00663CDF" w:rsidRDefault="00F71B39">
      <w:pPr>
        <w:pStyle w:val="Normal0"/>
        <w:widowControl w:val="0"/>
        <w:pBdr>
          <w:top w:val="nil"/>
          <w:left w:val="nil"/>
          <w:bottom w:val="nil"/>
          <w:right w:val="nil"/>
          <w:between w:val="nil"/>
        </w:pBdr>
        <w:spacing w:line="360" w:lineRule="auto"/>
        <w:ind w:left="360" w:hanging="709"/>
      </w:pPr>
      <w:r>
        <w:t>Duque, N. (2009). La autonomía territorial en el marco de la república unitaria y la capacidad institucional del Estado subnacional en Colombia. Administración &amp; Desarrollo, Escuela Superior de Administración Pública, vol. 37, N° 51, 109-124.</w:t>
      </w:r>
    </w:p>
    <w:p w14:paraId="0000054A" w14:textId="77777777" w:rsidR="00663CDF" w:rsidRDefault="00F71B39">
      <w:pPr>
        <w:pStyle w:val="Normal0"/>
        <w:widowControl w:val="0"/>
        <w:pBdr>
          <w:top w:val="nil"/>
          <w:left w:val="nil"/>
          <w:bottom w:val="nil"/>
          <w:right w:val="nil"/>
          <w:between w:val="nil"/>
        </w:pBdr>
        <w:spacing w:line="360" w:lineRule="auto"/>
        <w:ind w:left="360" w:hanging="709"/>
      </w:pPr>
      <w:r>
        <w:t>Duque, Naidú. (2020). El Papel De La Categorización Territorial En La Descentralización Y Las Relaciones Intergubernamentales En Colombia. Universidad de Bogotá Jorge Tadeo Lozano. Facultad de Ciencias Naturales e Ingeniería. Doctorado en Modelado en Política y Gestión Pública.</w:t>
      </w:r>
    </w:p>
    <w:p w14:paraId="0000054B" w14:textId="77777777" w:rsidR="00663CDF" w:rsidRDefault="00F71B39">
      <w:pPr>
        <w:pStyle w:val="Normal0"/>
        <w:widowControl w:val="0"/>
        <w:pBdr>
          <w:top w:val="nil"/>
          <w:left w:val="nil"/>
          <w:bottom w:val="nil"/>
          <w:right w:val="nil"/>
          <w:between w:val="nil"/>
        </w:pBdr>
        <w:spacing w:line="360" w:lineRule="auto"/>
        <w:ind w:left="360" w:hanging="709"/>
      </w:pPr>
      <w:r>
        <w:t>Durston, John. 2002. El capital social campesino en la gestión del desarrollo rural: díadas, equipos, puentes y escaleras. Cepal, Naciones Unidas. https://repositorio.cepal.org/bitstream/handle/11362/2346/S2002033_es.pdf?sequence=1&amp;isAllowed=y.</w:t>
      </w:r>
    </w:p>
    <w:p w14:paraId="0000054C" w14:textId="77777777" w:rsidR="00663CDF" w:rsidRDefault="00F71B39">
      <w:pPr>
        <w:pStyle w:val="Normal0"/>
        <w:widowControl w:val="0"/>
        <w:pBdr>
          <w:top w:val="nil"/>
          <w:left w:val="nil"/>
          <w:bottom w:val="nil"/>
          <w:right w:val="nil"/>
          <w:between w:val="nil"/>
        </w:pBdr>
        <w:spacing w:line="360" w:lineRule="auto"/>
        <w:ind w:left="360" w:hanging="709"/>
      </w:pPr>
      <w:r>
        <w:t>Echeverri, Rafael. 2006. Enfoques del desarrollo territorial. En: Jornadas de reflexión y debate políticas agropecuarias, estrategias de desarrollo rural, seguridad alimentaria, pobreza rural, y servicios de extensión agrícola. IICA. San José, Costa Rica.</w:t>
      </w:r>
    </w:p>
    <w:p w14:paraId="0000054D" w14:textId="77777777" w:rsidR="00663CDF" w:rsidRDefault="00F71B39">
      <w:pPr>
        <w:pStyle w:val="Normal0"/>
        <w:widowControl w:val="0"/>
        <w:pBdr>
          <w:top w:val="nil"/>
          <w:left w:val="nil"/>
          <w:bottom w:val="nil"/>
          <w:right w:val="nil"/>
          <w:between w:val="nil"/>
        </w:pBdr>
        <w:spacing w:line="360" w:lineRule="auto"/>
        <w:ind w:left="360" w:hanging="709"/>
      </w:pPr>
      <w:r>
        <w:t>Faletti, T. (2004). A sequential theory of decentralization and its effects on the intergovernmental balance of power. Working paper 314 Kellog Institute for International Studies.</w:t>
      </w:r>
    </w:p>
    <w:p w14:paraId="0000054E" w14:textId="77777777" w:rsidR="00663CDF" w:rsidRDefault="00F71B39">
      <w:pPr>
        <w:pStyle w:val="Normal0"/>
        <w:widowControl w:val="0"/>
        <w:pBdr>
          <w:top w:val="nil"/>
          <w:left w:val="nil"/>
          <w:bottom w:val="nil"/>
          <w:right w:val="nil"/>
          <w:between w:val="nil"/>
        </w:pBdr>
        <w:spacing w:line="360" w:lineRule="auto"/>
        <w:ind w:left="360" w:hanging="709"/>
      </w:pPr>
      <w:r>
        <w:t>Fernández Llera, Roberto. (2013). Descentralización, inversión pública y consolidación fiscal: hacia una nueva geometría del triángulo. Serie Macroeconomía del Desarrollo.</w:t>
      </w:r>
    </w:p>
    <w:p w14:paraId="0000054F" w14:textId="77777777" w:rsidR="00663CDF" w:rsidRDefault="00F71B39">
      <w:pPr>
        <w:pStyle w:val="Normal0"/>
        <w:widowControl w:val="0"/>
        <w:pBdr>
          <w:top w:val="nil"/>
          <w:left w:val="nil"/>
          <w:bottom w:val="nil"/>
          <w:right w:val="nil"/>
          <w:between w:val="nil"/>
        </w:pBdr>
        <w:spacing w:line="360" w:lineRule="auto"/>
        <w:ind w:left="360" w:hanging="709"/>
      </w:pPr>
      <w:r>
        <w:t>Ferreira, Ana Maria &amp; Valenzuela, Luis Carlos (1993). Descentralización financiera: el caso de Colombia. Proyecto Regional (CEPAL/GTZ) de Descentralización Fiscal.</w:t>
      </w:r>
    </w:p>
    <w:p w14:paraId="00000550" w14:textId="77777777" w:rsidR="00663CDF" w:rsidRDefault="00F71B39">
      <w:pPr>
        <w:pStyle w:val="Normal0"/>
        <w:widowControl w:val="0"/>
        <w:pBdr>
          <w:top w:val="nil"/>
          <w:left w:val="nil"/>
          <w:bottom w:val="nil"/>
          <w:right w:val="nil"/>
          <w:between w:val="nil"/>
        </w:pBdr>
        <w:spacing w:line="360" w:lineRule="auto"/>
        <w:ind w:left="360" w:hanging="709"/>
      </w:pPr>
      <w:r>
        <w:t>Finot, I (2006). Descentralización y viabilidad del desarrollo local en América Latina. Revista del CLAD Reforma y Democracia, (34).</w:t>
      </w:r>
    </w:p>
    <w:p w14:paraId="00000551" w14:textId="77777777" w:rsidR="00663CDF" w:rsidRDefault="00F71B39">
      <w:pPr>
        <w:pStyle w:val="Normal0"/>
        <w:widowControl w:val="0"/>
        <w:pBdr>
          <w:top w:val="nil"/>
          <w:left w:val="nil"/>
          <w:bottom w:val="nil"/>
          <w:right w:val="nil"/>
          <w:between w:val="nil"/>
        </w:pBdr>
        <w:spacing w:line="360" w:lineRule="auto"/>
        <w:ind w:left="360" w:hanging="709"/>
      </w:pPr>
      <w:r>
        <w:t>Finot, I. (2007). Los procesos de descentralización en América Latina/The Processes of Decentralization in Latin America. Investigaciones Regionales, N° 10.</w:t>
      </w:r>
    </w:p>
    <w:p w14:paraId="00000552" w14:textId="77777777" w:rsidR="00663CDF" w:rsidRDefault="00F71B39">
      <w:pPr>
        <w:pStyle w:val="Normal0"/>
        <w:widowControl w:val="0"/>
        <w:pBdr>
          <w:top w:val="nil"/>
          <w:left w:val="nil"/>
          <w:bottom w:val="nil"/>
          <w:right w:val="nil"/>
          <w:between w:val="nil"/>
        </w:pBdr>
        <w:spacing w:line="360" w:lineRule="auto"/>
        <w:ind w:left="360" w:hanging="709"/>
      </w:pPr>
      <w:r>
        <w:t xml:space="preserve">Folleco, </w:t>
      </w:r>
      <w:proofErr w:type="gramStart"/>
      <w:r>
        <w:t>Johnson  y</w:t>
      </w:r>
      <w:proofErr w:type="gramEnd"/>
      <w:r>
        <w:t xml:space="preserve">  Sevilla, Mónica.  (2020).  LA </w:t>
      </w:r>
      <w:proofErr w:type="gramStart"/>
      <w:r>
        <w:t>ADMINISTRACIÓN  PÚBLICA</w:t>
      </w:r>
      <w:proofErr w:type="gramEnd"/>
      <w:r>
        <w:t>:  Descenso  de  la  burocracia,  la  nueva  gestión pública  y  gobernanza  en  América  Latina,  International  Journal  of  Latest Research  in  Humanities  and  Social Science (IJLRHSS)Volume  03 -Issue  10, 2020,  www.ijlrhss.com  ||  PP.  91-</w:t>
      </w:r>
      <w:proofErr w:type="gramStart"/>
      <w:r>
        <w:t>106  http://www.ijlrhss.com/paper/volume-3-issue-10/13-HSS-812.pdf</w:t>
      </w:r>
      <w:proofErr w:type="gramEnd"/>
      <w:r>
        <w:t>.</w:t>
      </w:r>
    </w:p>
    <w:p w14:paraId="00000553" w14:textId="77777777" w:rsidR="00663CDF" w:rsidRDefault="00F71B39">
      <w:pPr>
        <w:pStyle w:val="Normal0"/>
        <w:widowControl w:val="0"/>
        <w:pBdr>
          <w:top w:val="nil"/>
          <w:left w:val="nil"/>
          <w:bottom w:val="nil"/>
          <w:right w:val="nil"/>
          <w:between w:val="nil"/>
        </w:pBdr>
        <w:spacing w:line="360" w:lineRule="auto"/>
        <w:ind w:left="360" w:hanging="709"/>
      </w:pPr>
      <w:r>
        <w:t>García Sánchez, I.-M. (</w:t>
      </w:r>
      <w:proofErr w:type="gramStart"/>
      <w:r>
        <w:t>Mayo</w:t>
      </w:r>
      <w:proofErr w:type="gramEnd"/>
      <w:r>
        <w:t xml:space="preserve"> 2007). La Nueva Gestión Pública: evolución y tendencias. Presupuesto y Gasto Público No 47, pp. 37-64.</w:t>
      </w:r>
    </w:p>
    <w:p w14:paraId="00000554" w14:textId="77777777" w:rsidR="00663CDF" w:rsidRDefault="00F71B39">
      <w:pPr>
        <w:pStyle w:val="Normal0"/>
        <w:widowControl w:val="0"/>
        <w:pBdr>
          <w:top w:val="nil"/>
          <w:left w:val="nil"/>
          <w:bottom w:val="nil"/>
          <w:right w:val="nil"/>
          <w:between w:val="nil"/>
        </w:pBdr>
        <w:spacing w:line="360" w:lineRule="auto"/>
        <w:ind w:left="360" w:hanging="709"/>
      </w:pPr>
      <w:r>
        <w:t>Gerencia Financiera”; Ed. McGraw Hill; Bogotá – Colombia</w:t>
      </w:r>
    </w:p>
    <w:p w14:paraId="00000555" w14:textId="77777777" w:rsidR="00663CDF" w:rsidRDefault="00F71B39">
      <w:pPr>
        <w:pStyle w:val="Normal0"/>
        <w:widowControl w:val="0"/>
        <w:pBdr>
          <w:top w:val="nil"/>
          <w:left w:val="nil"/>
          <w:bottom w:val="nil"/>
          <w:right w:val="nil"/>
          <w:between w:val="nil"/>
        </w:pBdr>
        <w:spacing w:line="360" w:lineRule="auto"/>
        <w:ind w:left="360" w:hanging="709"/>
      </w:pPr>
      <w:r>
        <w:t>Giraldo, C. (2009). Finanzas públicas en América Latina. La economía política. Bogotá: ESAP, Ediciones Desde Abajo.</w:t>
      </w:r>
    </w:p>
    <w:p w14:paraId="00000556" w14:textId="77777777" w:rsidR="00663CDF" w:rsidRDefault="00F71B39">
      <w:pPr>
        <w:pStyle w:val="Normal0"/>
        <w:widowControl w:val="0"/>
        <w:pBdr>
          <w:top w:val="nil"/>
          <w:left w:val="nil"/>
          <w:bottom w:val="nil"/>
          <w:right w:val="nil"/>
          <w:between w:val="nil"/>
        </w:pBdr>
        <w:spacing w:line="360" w:lineRule="auto"/>
        <w:ind w:left="360" w:hanging="709"/>
      </w:pPr>
      <w:r>
        <w:t xml:space="preserve">Gobernación de Bolívar. (2023). </w:t>
      </w:r>
      <w:hyperlink r:id="rId19">
        <w:r>
          <w:rPr>
            <w:color w:val="000000"/>
            <w:u w:val="single"/>
          </w:rPr>
          <w:t>https://www.bolivar.gov.co/</w:t>
        </w:r>
      </w:hyperlink>
    </w:p>
    <w:p w14:paraId="00000557" w14:textId="77777777" w:rsidR="00663CDF" w:rsidRDefault="00F71B39">
      <w:pPr>
        <w:pStyle w:val="Normal0"/>
        <w:widowControl w:val="0"/>
        <w:pBdr>
          <w:top w:val="nil"/>
          <w:left w:val="nil"/>
          <w:bottom w:val="nil"/>
          <w:right w:val="nil"/>
          <w:between w:val="nil"/>
        </w:pBdr>
        <w:spacing w:line="360" w:lineRule="auto"/>
        <w:ind w:left="360" w:hanging="709"/>
      </w:pPr>
      <w:r>
        <w:t xml:space="preserve">González, J. I. (2025, 7 de febrero). </w:t>
      </w:r>
      <w:r>
        <w:rPr>
          <w:i/>
        </w:rPr>
        <w:t>La recategorización no puede seguir esperando</w:t>
      </w:r>
      <w:r>
        <w:t xml:space="preserve">. </w:t>
      </w:r>
      <w:r>
        <w:rPr>
          <w:i/>
        </w:rPr>
        <w:t>La República</w:t>
      </w:r>
      <w:r>
        <w:t>.</w:t>
      </w:r>
    </w:p>
    <w:p w14:paraId="00000558" w14:textId="77777777" w:rsidR="00663CDF" w:rsidRDefault="00F71B39">
      <w:pPr>
        <w:pStyle w:val="Normal0"/>
        <w:widowControl w:val="0"/>
        <w:pBdr>
          <w:top w:val="nil"/>
          <w:left w:val="nil"/>
          <w:bottom w:val="nil"/>
          <w:right w:val="nil"/>
          <w:between w:val="nil"/>
        </w:pBdr>
        <w:spacing w:line="360" w:lineRule="auto"/>
        <w:ind w:left="360" w:hanging="709"/>
      </w:pPr>
      <w:r>
        <w:t>Grajales, T. L. F. (2017). Propuesta de un modelo de Gestión Financiera para los Municipios de sexta categoría, revisión caso Belén de Umbría.</w:t>
      </w:r>
    </w:p>
    <w:p w14:paraId="00000559" w14:textId="77777777" w:rsidR="00663CDF" w:rsidRDefault="00F71B39">
      <w:pPr>
        <w:pStyle w:val="Normal0"/>
        <w:widowControl w:val="0"/>
        <w:pBdr>
          <w:top w:val="nil"/>
          <w:left w:val="nil"/>
          <w:bottom w:val="nil"/>
          <w:right w:val="nil"/>
          <w:between w:val="nil"/>
        </w:pBdr>
        <w:spacing w:line="360" w:lineRule="auto"/>
        <w:ind w:left="360" w:hanging="709"/>
      </w:pPr>
      <w:r>
        <w:t xml:space="preserve">Grandinetti, </w:t>
      </w:r>
      <w:proofErr w:type="gramStart"/>
      <w:r>
        <w:t>Rita  M.</w:t>
      </w:r>
      <w:proofErr w:type="gramEnd"/>
      <w:r>
        <w:t xml:space="preserve">  (2018). </w:t>
      </w:r>
      <w:proofErr w:type="gramStart"/>
      <w:r>
        <w:t>Innovación  en</w:t>
      </w:r>
      <w:proofErr w:type="gramEnd"/>
      <w:r>
        <w:t xml:space="preserve">  la  gestión  pública:  más  allá  y  más  acá  del gobierno abierto, Downloads/62-Texto%20del%20artículo-207-1-10-20190111%20(1).</w:t>
      </w:r>
    </w:p>
    <w:p w14:paraId="0000055A" w14:textId="77777777" w:rsidR="00663CDF" w:rsidRDefault="00F71B39">
      <w:pPr>
        <w:pStyle w:val="Normal0"/>
        <w:widowControl w:val="0"/>
        <w:pBdr>
          <w:top w:val="nil"/>
          <w:left w:val="nil"/>
          <w:bottom w:val="nil"/>
          <w:right w:val="nil"/>
          <w:between w:val="nil"/>
        </w:pBdr>
        <w:spacing w:line="360" w:lineRule="auto"/>
        <w:ind w:left="360" w:hanging="709"/>
      </w:pPr>
      <w:r>
        <w:t>Guerrero, A. (2008). "La Teoría de la Administración Pública". México: Editorial Harla México.</w:t>
      </w:r>
    </w:p>
    <w:p w14:paraId="0000055B" w14:textId="77777777" w:rsidR="00663CDF" w:rsidRDefault="00F71B39">
      <w:pPr>
        <w:pStyle w:val="Normal0"/>
        <w:widowControl w:val="0"/>
        <w:pBdr>
          <w:top w:val="nil"/>
          <w:left w:val="nil"/>
          <w:bottom w:val="nil"/>
          <w:right w:val="nil"/>
          <w:between w:val="nil"/>
        </w:pBdr>
        <w:spacing w:line="360" w:lineRule="auto"/>
        <w:ind w:left="360" w:hanging="709"/>
      </w:pPr>
      <w:r>
        <w:t>Gutiérrez, G. H. D. (2017). Categorizacion De Los Municipios En Colombia: Importancia De Las Finanzas Territoriales Y Nivel De Vida En Los Hogares. Universidad Católica De Colombia, 1–26.</w:t>
      </w:r>
    </w:p>
    <w:p w14:paraId="0000055C" w14:textId="77777777" w:rsidR="00663CDF" w:rsidRDefault="00F71B39">
      <w:pPr>
        <w:pStyle w:val="Normal0"/>
        <w:widowControl w:val="0"/>
        <w:pBdr>
          <w:top w:val="nil"/>
          <w:left w:val="nil"/>
          <w:bottom w:val="nil"/>
          <w:right w:val="nil"/>
          <w:between w:val="nil"/>
        </w:pBdr>
        <w:spacing w:line="360" w:lineRule="auto"/>
        <w:ind w:left="360" w:hanging="709"/>
      </w:pPr>
      <w:r>
        <w:t>Hanni, A., &amp; Aguilar, L. (2017). Prácticas de contabilidad. Grupo Editorial Patria.</w:t>
      </w:r>
    </w:p>
    <w:p w14:paraId="0000055D" w14:textId="77777777" w:rsidR="00663CDF" w:rsidRDefault="00F71B39">
      <w:pPr>
        <w:pStyle w:val="Normal0"/>
        <w:widowControl w:val="0"/>
        <w:pBdr>
          <w:top w:val="nil"/>
          <w:left w:val="nil"/>
          <w:bottom w:val="nil"/>
          <w:right w:val="nil"/>
          <w:between w:val="nil"/>
        </w:pBdr>
        <w:spacing w:line="360" w:lineRule="auto"/>
        <w:ind w:left="360" w:hanging="709"/>
      </w:pPr>
      <w:r>
        <w:t>Institución Educativa San Isidro. (n.d.). Gestión Administrativa y Financiera.</w:t>
      </w:r>
    </w:p>
    <w:p w14:paraId="0000055E" w14:textId="77777777" w:rsidR="00663CDF" w:rsidRDefault="00F71B39">
      <w:pPr>
        <w:pStyle w:val="Normal0"/>
        <w:widowControl w:val="0"/>
        <w:pBdr>
          <w:top w:val="nil"/>
          <w:left w:val="nil"/>
          <w:bottom w:val="nil"/>
          <w:right w:val="nil"/>
          <w:between w:val="nil"/>
        </w:pBdr>
        <w:spacing w:line="360" w:lineRule="auto"/>
        <w:ind w:left="360" w:hanging="709"/>
      </w:pPr>
      <w:r>
        <w:t>Langrod, G. (2010). "Tratado de Ciencia Administrativa". Ed. Instituto de Estudios Administrativos -Escuela Nacional de Administración Pública. Madrid-España.: s/n.</w:t>
      </w:r>
    </w:p>
    <w:p w14:paraId="0000055F" w14:textId="77777777" w:rsidR="00663CDF" w:rsidRDefault="00F71B39">
      <w:pPr>
        <w:pStyle w:val="Normal0"/>
        <w:widowControl w:val="0"/>
        <w:pBdr>
          <w:top w:val="nil"/>
          <w:left w:val="nil"/>
          <w:bottom w:val="nil"/>
          <w:right w:val="nil"/>
          <w:between w:val="nil"/>
        </w:pBdr>
        <w:spacing w:line="360" w:lineRule="auto"/>
        <w:ind w:left="360" w:hanging="709"/>
      </w:pPr>
      <w:r>
        <w:t>Ley 136. (1994). Por la cual se dictan normas tendientes a modernizar la organización y el funcionamiento de los municipios. Colombia: 2 de junio de 1994.</w:t>
      </w:r>
    </w:p>
    <w:p w14:paraId="00000560" w14:textId="77777777" w:rsidR="00663CDF" w:rsidRDefault="00F71B39">
      <w:pPr>
        <w:pStyle w:val="Normal0"/>
        <w:widowControl w:val="0"/>
        <w:pBdr>
          <w:top w:val="nil"/>
          <w:left w:val="nil"/>
          <w:bottom w:val="nil"/>
          <w:right w:val="nil"/>
          <w:between w:val="nil"/>
        </w:pBdr>
        <w:spacing w:line="360" w:lineRule="auto"/>
        <w:ind w:left="360" w:hanging="709"/>
      </w:pPr>
      <w:r>
        <w:t>Ley 1551. (2012). Por la cual se dictan normas para modernizar la organización y el funcionamiento de los municipios. Secretaría del Senado. Colombia: 6 de julio de 2012.</w:t>
      </w:r>
    </w:p>
    <w:p w14:paraId="00000561" w14:textId="77777777" w:rsidR="00663CDF" w:rsidRDefault="00F71B39">
      <w:pPr>
        <w:pStyle w:val="Normal0"/>
        <w:widowControl w:val="0"/>
        <w:pBdr>
          <w:top w:val="nil"/>
          <w:left w:val="nil"/>
          <w:bottom w:val="nil"/>
          <w:right w:val="nil"/>
          <w:between w:val="nil"/>
        </w:pBdr>
        <w:spacing w:line="360" w:lineRule="auto"/>
        <w:ind w:left="360" w:hanging="709"/>
      </w:pPr>
      <w:r>
        <w:t>Ley 60. (1993). Por la cual se dictan normas orgánicas sobre la distribución de competencias de conformidad con los artículos 151 y 288 de la Constitución Política y se distribuyen 99 recursos según los artículos 356 y 357 de la Constitución Política. Colombia: 12 de agosto de 1993.</w:t>
      </w:r>
    </w:p>
    <w:p w14:paraId="00000562" w14:textId="77777777" w:rsidR="00663CDF" w:rsidRDefault="00F71B39">
      <w:pPr>
        <w:pStyle w:val="Normal0"/>
        <w:widowControl w:val="0"/>
        <w:pBdr>
          <w:top w:val="nil"/>
          <w:left w:val="nil"/>
          <w:bottom w:val="nil"/>
          <w:right w:val="nil"/>
          <w:between w:val="nil"/>
        </w:pBdr>
        <w:spacing w:line="360" w:lineRule="auto"/>
        <w:ind w:left="360" w:hanging="709"/>
      </w:pPr>
      <w:r>
        <w:t>Ley 617. (2000). Por la cual se reforma parcialmente la Ley 136 de 1994, el Decreto Extraordinario 1222 de 1986, se adiciona la Ley Orgánica de Presupuesto, el Decreto 1421 de 1993, se dictan otras normas tendientes a fortalecer la descentralización. Colombia: 9 de octubre de 2000.</w:t>
      </w:r>
    </w:p>
    <w:p w14:paraId="00000563" w14:textId="77777777" w:rsidR="00663CDF" w:rsidRDefault="00F71B39">
      <w:pPr>
        <w:pStyle w:val="Normal0"/>
        <w:widowControl w:val="0"/>
        <w:pBdr>
          <w:top w:val="nil"/>
          <w:left w:val="nil"/>
          <w:bottom w:val="nil"/>
          <w:right w:val="nil"/>
          <w:between w:val="nil"/>
        </w:pBdr>
        <w:spacing w:line="360" w:lineRule="auto"/>
        <w:ind w:left="360" w:hanging="709"/>
      </w:pPr>
      <w:r>
        <w:t>Linck, Thierry. 2006. La economía y la política en la apropiación de los territorios. INRA. Francia.</w:t>
      </w:r>
    </w:p>
    <w:p w14:paraId="00000564" w14:textId="77777777" w:rsidR="00663CDF" w:rsidRDefault="00F71B39">
      <w:pPr>
        <w:pStyle w:val="Normal0"/>
        <w:widowControl w:val="0"/>
        <w:pBdr>
          <w:top w:val="nil"/>
          <w:left w:val="nil"/>
          <w:bottom w:val="nil"/>
          <w:right w:val="nil"/>
          <w:between w:val="nil"/>
        </w:pBdr>
        <w:spacing w:line="360" w:lineRule="auto"/>
        <w:ind w:left="360" w:hanging="709"/>
      </w:pPr>
      <w:r>
        <w:t>Lleras, A. (1944). Alocución radial del Ministro de Gobierno para explicar el Proyecto de Reforma Constitucional presentado por el Gobierno. Bogotá: Revista de la Academia Colombiana de Jurisprudencia.</w:t>
      </w:r>
    </w:p>
    <w:p w14:paraId="00000565" w14:textId="77777777" w:rsidR="00663CDF" w:rsidRDefault="00F71B39">
      <w:pPr>
        <w:pStyle w:val="Normal0"/>
        <w:widowControl w:val="0"/>
        <w:pBdr>
          <w:top w:val="nil"/>
          <w:left w:val="nil"/>
          <w:bottom w:val="nil"/>
          <w:right w:val="nil"/>
          <w:between w:val="nil"/>
        </w:pBdr>
        <w:spacing w:line="360" w:lineRule="auto"/>
        <w:ind w:left="360" w:hanging="709"/>
      </w:pPr>
      <w:r>
        <w:t>Logacho, C. V. (2015). Estudio Del Proceso De Contratación Pública De Bienes Y Servicios Y Su Contribución Al Mejoramiento De La Gestión Administrativa. Caso Práctico: Coordinación General Administrativa Financiera De La Secretaría General De La Presidencia De La República (2013-2014).</w:t>
      </w:r>
    </w:p>
    <w:p w14:paraId="00000566" w14:textId="77777777" w:rsidR="00663CDF" w:rsidRDefault="00F71B39">
      <w:pPr>
        <w:pStyle w:val="Normal0"/>
        <w:widowControl w:val="0"/>
        <w:pBdr>
          <w:top w:val="nil"/>
          <w:left w:val="nil"/>
          <w:bottom w:val="nil"/>
          <w:right w:val="nil"/>
          <w:between w:val="nil"/>
        </w:pBdr>
        <w:spacing w:line="360" w:lineRule="auto"/>
        <w:ind w:left="360" w:hanging="709"/>
      </w:pPr>
      <w:r>
        <w:t xml:space="preserve">López, A. (2006). Control fiscal territorial. Fundamentos de reforma. Agencia de Cooperación Técnica Alemana (GTZ) y la Universidad del Rosario. </w:t>
      </w:r>
    </w:p>
    <w:p w14:paraId="00000567" w14:textId="77777777" w:rsidR="00663CDF" w:rsidRDefault="00F71B39">
      <w:pPr>
        <w:pStyle w:val="Normal0"/>
        <w:widowControl w:val="0"/>
        <w:pBdr>
          <w:top w:val="nil"/>
          <w:left w:val="nil"/>
          <w:bottom w:val="nil"/>
          <w:right w:val="nil"/>
          <w:between w:val="nil"/>
        </w:pBdr>
        <w:spacing w:line="360" w:lineRule="auto"/>
        <w:ind w:left="360" w:hanging="709"/>
      </w:pPr>
      <w:r>
        <w:t>Lynn, Lawrence, Jr., “Reforma administrativa desde una perspectiva internacional: Ley pública y la nueva Administración Pública”, en Gestión y Política Pública, CIDE. Vol. V, número 2, segundo semestre de 1996. p. 308.</w:t>
      </w:r>
    </w:p>
    <w:p w14:paraId="00000568" w14:textId="77777777" w:rsidR="00663CDF" w:rsidRDefault="00F71B39">
      <w:pPr>
        <w:pStyle w:val="Normal0"/>
        <w:widowControl w:val="0"/>
        <w:pBdr>
          <w:top w:val="nil"/>
          <w:left w:val="nil"/>
          <w:bottom w:val="nil"/>
          <w:right w:val="nil"/>
          <w:between w:val="nil"/>
        </w:pBdr>
        <w:spacing w:line="360" w:lineRule="auto"/>
        <w:ind w:left="360" w:hanging="709"/>
      </w:pPr>
      <w:r>
        <w:t>Maldonado, Alberto. (2000). Descentralización Y Desarrollo Económico Local Una Visión General Del Caso De Colombia. Proyecto CEPAL/GTZ de Desarrollo Económico Local y Descentralización de la División de Desarrollo Económico. (27-32)</w:t>
      </w:r>
    </w:p>
    <w:p w14:paraId="00000569" w14:textId="77777777" w:rsidR="00663CDF" w:rsidRDefault="00F71B39">
      <w:pPr>
        <w:pStyle w:val="Normal0"/>
        <w:widowControl w:val="0"/>
        <w:pBdr>
          <w:top w:val="nil"/>
          <w:left w:val="nil"/>
          <w:bottom w:val="nil"/>
          <w:right w:val="nil"/>
          <w:between w:val="nil"/>
        </w:pBdr>
        <w:spacing w:line="360" w:lineRule="auto"/>
        <w:ind w:left="360" w:hanging="709"/>
      </w:pPr>
      <w:r>
        <w:t xml:space="preserve">Martínez-Vázquez, J., &amp; Timofeev, A. (2010). </w:t>
      </w:r>
      <w:r>
        <w:rPr>
          <w:i/>
        </w:rPr>
        <w:t>Descentralización fiscal en América Latina: Balance de un proceso</w:t>
      </w:r>
      <w:r>
        <w:t>. Banco Interamericano de Desarrollo.</w:t>
      </w:r>
    </w:p>
    <w:p w14:paraId="0000056A" w14:textId="77777777" w:rsidR="00663CDF" w:rsidRDefault="00F71B39">
      <w:pPr>
        <w:pStyle w:val="Normal0"/>
        <w:widowControl w:val="0"/>
        <w:pBdr>
          <w:top w:val="nil"/>
          <w:left w:val="nil"/>
          <w:bottom w:val="nil"/>
          <w:right w:val="nil"/>
          <w:between w:val="nil"/>
        </w:pBdr>
        <w:spacing w:line="360" w:lineRule="auto"/>
        <w:ind w:left="360" w:hanging="709"/>
      </w:pPr>
      <w:r>
        <w:t>Medina. C. (2008). La gestión social integral en el contexto de la gestión pública participativa. En C. Medina, A. Roth y Hernández, (Eds.), La Gestión Pública Participativa en el contexto de la Gestión Social Integral. Nociones y conceptos, (p.155). Bogotá, Colombia: Editorial Kimpres Ltda.</w:t>
      </w:r>
    </w:p>
    <w:p w14:paraId="0000056B" w14:textId="77777777" w:rsidR="00663CDF" w:rsidRDefault="00F71B39">
      <w:pPr>
        <w:pStyle w:val="Normal0"/>
        <w:widowControl w:val="0"/>
        <w:pBdr>
          <w:top w:val="nil"/>
          <w:left w:val="nil"/>
          <w:bottom w:val="nil"/>
          <w:right w:val="nil"/>
          <w:between w:val="nil"/>
        </w:pBdr>
        <w:spacing w:line="360" w:lineRule="auto"/>
        <w:ind w:left="360" w:hanging="709"/>
      </w:pPr>
      <w:r>
        <w:t>Medina. C. (2008). La gestión social integral en el contexto de la gestión pública participativa. En C. Medina, A. Roth y Hernández, (Eds.), La Gestión Pública Participativa en el contexto de la Gestión Social Integral. Nociones y conceptos, (p.155). Bogotá, Colombia: Editorial Kimpres Ltda.</w:t>
      </w:r>
    </w:p>
    <w:p w14:paraId="0000056C" w14:textId="77777777" w:rsidR="00663CDF" w:rsidRDefault="00F71B39">
      <w:pPr>
        <w:pStyle w:val="Normal0"/>
        <w:widowControl w:val="0"/>
        <w:pBdr>
          <w:top w:val="nil"/>
          <w:left w:val="nil"/>
          <w:bottom w:val="nil"/>
          <w:right w:val="nil"/>
          <w:between w:val="nil"/>
        </w:pBdr>
        <w:spacing w:line="360" w:lineRule="auto"/>
        <w:ind w:left="360" w:hanging="709"/>
      </w:pPr>
      <w:r>
        <w:t>Mendoza, H. J. F. (2007). Gestión financiera pública: elementos para su estudio y aplicación. Funciones económicas del Estado, presupuesto, tributos, endeudamiento, gasto público. 1(3).</w:t>
      </w:r>
    </w:p>
    <w:p w14:paraId="0000056D" w14:textId="77777777" w:rsidR="00663CDF" w:rsidRDefault="00F71B39">
      <w:pPr>
        <w:pStyle w:val="Normal0"/>
        <w:widowControl w:val="0"/>
        <w:pBdr>
          <w:top w:val="nil"/>
          <w:left w:val="nil"/>
          <w:bottom w:val="nil"/>
          <w:right w:val="nil"/>
          <w:between w:val="nil"/>
        </w:pBdr>
        <w:spacing w:line="360" w:lineRule="auto"/>
        <w:ind w:left="360" w:hanging="709"/>
      </w:pPr>
      <w:r>
        <w:t>Mesa Díaz, Carlos; Remolina Pulido, Juan; Pérez Rodríguez, Adyle; Igua Pérez, Diana. (2011). Descentralización y entidades territoriales procuraduría delegada para la descentralización y las entidades territoriales. Procuraduría General de la Nación. Instituto de Estudios del Ministerio Público.</w:t>
      </w:r>
    </w:p>
    <w:p w14:paraId="0000056E" w14:textId="77777777" w:rsidR="00663CDF" w:rsidRDefault="00F71B39">
      <w:pPr>
        <w:pStyle w:val="Normal0"/>
        <w:widowControl w:val="0"/>
        <w:pBdr>
          <w:top w:val="nil"/>
          <w:left w:val="nil"/>
          <w:bottom w:val="nil"/>
          <w:right w:val="nil"/>
          <w:between w:val="nil"/>
        </w:pBdr>
        <w:spacing w:line="360" w:lineRule="auto"/>
        <w:ind w:left="360" w:hanging="709"/>
      </w:pPr>
      <w:r>
        <w:t>Moncayo Jiménez, E. (2006). La transformación del Estado en América Latina: una perspectiva económica desde los países andinos. Problemas del Desarrollo. Vol. 37, N° 147, 135-159.</w:t>
      </w:r>
    </w:p>
    <w:p w14:paraId="0000056F" w14:textId="77777777" w:rsidR="00663CDF" w:rsidRDefault="00F71B39">
      <w:pPr>
        <w:pStyle w:val="Normal0"/>
        <w:widowControl w:val="0"/>
        <w:pBdr>
          <w:top w:val="nil"/>
          <w:left w:val="nil"/>
          <w:bottom w:val="nil"/>
          <w:right w:val="nil"/>
          <w:between w:val="nil"/>
        </w:pBdr>
        <w:spacing w:line="360" w:lineRule="auto"/>
        <w:ind w:left="360" w:hanging="709"/>
      </w:pPr>
      <w:r>
        <w:t>Montilla, J. D. (2021, Julio 7). Futuro de la contabilidad pública: gestión financiera pública.</w:t>
      </w:r>
    </w:p>
    <w:p w14:paraId="00000570" w14:textId="77777777" w:rsidR="00663CDF" w:rsidRDefault="00F71B39">
      <w:pPr>
        <w:pStyle w:val="Normal0"/>
        <w:widowControl w:val="0"/>
        <w:pBdr>
          <w:top w:val="nil"/>
          <w:left w:val="nil"/>
          <w:bottom w:val="nil"/>
          <w:right w:val="nil"/>
          <w:between w:val="nil"/>
        </w:pBdr>
        <w:spacing w:line="360" w:lineRule="auto"/>
        <w:ind w:left="360" w:hanging="709"/>
      </w:pPr>
      <w:r>
        <w:t>Moore, H. M. (1998). Gestión estratégica y creación de valor en el sector público. In S. Paidós Ibérica, S.A. Barcelona y Ed. Paidós (Ed.), Gestión estratégica y creación de valor en el sector público (pp. 59–100). Buenos Aires.</w:t>
      </w:r>
    </w:p>
    <w:p w14:paraId="00000571" w14:textId="77777777" w:rsidR="00663CDF" w:rsidRDefault="00F71B39">
      <w:pPr>
        <w:pStyle w:val="Normal0"/>
        <w:widowControl w:val="0"/>
        <w:pBdr>
          <w:top w:val="nil"/>
          <w:left w:val="nil"/>
          <w:bottom w:val="nil"/>
          <w:right w:val="nil"/>
          <w:between w:val="nil"/>
        </w:pBdr>
        <w:spacing w:line="360" w:lineRule="auto"/>
        <w:ind w:left="360" w:hanging="709"/>
      </w:pPr>
      <w:r>
        <w:t xml:space="preserve">Münch, L.  (Ed.)  (2010). ADMINISTRACIÓN: Gestión organizacional, </w:t>
      </w:r>
      <w:proofErr w:type="gramStart"/>
      <w:r>
        <w:t>enfoques  y</w:t>
      </w:r>
      <w:proofErr w:type="gramEnd"/>
      <w:r>
        <w:t xml:space="preserve"> proceso administrativo. Pearson educación. </w:t>
      </w:r>
      <w:hyperlink r:id="rId20">
        <w:r>
          <w:rPr>
            <w:u w:val="single"/>
          </w:rPr>
          <w:t>https://n9.cl/1xxcd</w:t>
        </w:r>
      </w:hyperlink>
      <w:r>
        <w:t xml:space="preserve"> </w:t>
      </w:r>
    </w:p>
    <w:p w14:paraId="00000572" w14:textId="77777777" w:rsidR="00663CDF" w:rsidRDefault="00F71B39">
      <w:pPr>
        <w:pStyle w:val="Normal0"/>
        <w:widowControl w:val="0"/>
        <w:pBdr>
          <w:top w:val="nil"/>
          <w:left w:val="nil"/>
          <w:bottom w:val="nil"/>
          <w:right w:val="nil"/>
          <w:between w:val="nil"/>
        </w:pBdr>
        <w:spacing w:line="360" w:lineRule="auto"/>
        <w:ind w:left="360" w:hanging="709"/>
      </w:pPr>
      <w:r>
        <w:t xml:space="preserve">Peña Corrales, J.  L., </w:t>
      </w:r>
      <w:proofErr w:type="gramStart"/>
      <w:r>
        <w:t>&amp;  Almaguer</w:t>
      </w:r>
      <w:proofErr w:type="gramEnd"/>
      <w:r>
        <w:t xml:space="preserve"> Martí,  A.  (2019).  Modelo de gestión administrativa y financiera para Institutos Politécnicos Industriales. Revista   </w:t>
      </w:r>
      <w:proofErr w:type="gramStart"/>
      <w:r>
        <w:t>Luz,  18</w:t>
      </w:r>
      <w:proofErr w:type="gramEnd"/>
      <w:r>
        <w:t>(4),  1-8. https://www.redalyc.org/journal/5891/589162002004</w:t>
      </w:r>
    </w:p>
    <w:p w14:paraId="00000573" w14:textId="77777777" w:rsidR="00663CDF" w:rsidRDefault="00F71B39">
      <w:pPr>
        <w:pStyle w:val="Normal0"/>
        <w:widowControl w:val="0"/>
        <w:pBdr>
          <w:top w:val="nil"/>
          <w:left w:val="nil"/>
          <w:bottom w:val="nil"/>
          <w:right w:val="nil"/>
          <w:between w:val="nil"/>
        </w:pBdr>
        <w:spacing w:line="360" w:lineRule="auto"/>
        <w:ind w:left="360" w:hanging="709"/>
      </w:pPr>
      <w:r>
        <w:t xml:space="preserve">Plan de Desarrollo Departamental de Bolívar 2020-2023. https://www.bolivar.gov.co/web/wp-content/uploads/2021/07/Documento-Tecnico-Plan-de-Desarrollo-2020-2023-Bolivar-Primero-2-1.pdf </w:t>
      </w:r>
    </w:p>
    <w:p w14:paraId="00000574" w14:textId="77777777" w:rsidR="00663CDF" w:rsidRDefault="00F71B39">
      <w:pPr>
        <w:pStyle w:val="Normal0"/>
        <w:widowControl w:val="0"/>
        <w:pBdr>
          <w:top w:val="nil"/>
          <w:left w:val="nil"/>
          <w:bottom w:val="nil"/>
          <w:right w:val="nil"/>
          <w:between w:val="nil"/>
        </w:pBdr>
        <w:spacing w:line="360" w:lineRule="auto"/>
        <w:ind w:left="360" w:hanging="709"/>
      </w:pPr>
      <w:r>
        <w:t>Putnam, Robert (2000). Bowling Alone: The Collapse and Revival of American Community. New York: Simon &amp; Schuster.</w:t>
      </w:r>
    </w:p>
    <w:p w14:paraId="00000575" w14:textId="77777777" w:rsidR="00663CDF" w:rsidRDefault="00F71B39">
      <w:pPr>
        <w:pStyle w:val="Normal0"/>
        <w:widowControl w:val="0"/>
        <w:pBdr>
          <w:top w:val="nil"/>
          <w:left w:val="nil"/>
          <w:bottom w:val="nil"/>
          <w:right w:val="nil"/>
          <w:between w:val="nil"/>
        </w:pBdr>
        <w:spacing w:line="360" w:lineRule="auto"/>
        <w:ind w:left="360" w:hanging="709"/>
      </w:pPr>
      <w:r>
        <w:t>Ramírez-Velázquez, Blanca Rebeca. 2011. "Espacio y política en el desarrollo territorial." Economía, sociedad y territorio 11 (37): 553-573.</w:t>
      </w:r>
    </w:p>
    <w:p w14:paraId="00000576" w14:textId="77777777" w:rsidR="00663CDF" w:rsidRDefault="00F71B39">
      <w:pPr>
        <w:pStyle w:val="Normal0"/>
        <w:widowControl w:val="0"/>
        <w:pBdr>
          <w:top w:val="nil"/>
          <w:left w:val="nil"/>
          <w:bottom w:val="nil"/>
          <w:right w:val="nil"/>
          <w:between w:val="nil"/>
        </w:pBdr>
        <w:spacing w:line="360" w:lineRule="auto"/>
        <w:ind w:left="360" w:hanging="709"/>
      </w:pPr>
      <w:r>
        <w:t>Restrepo, J. C. (2015). Hacienda pública. (10.a ed.). Bogotá: Universidad Externado de Colombia.</w:t>
      </w:r>
    </w:p>
    <w:p w14:paraId="00000577" w14:textId="77777777" w:rsidR="00663CDF" w:rsidRDefault="00F71B39">
      <w:pPr>
        <w:pStyle w:val="Normal0"/>
        <w:widowControl w:val="0"/>
        <w:pBdr>
          <w:top w:val="nil"/>
          <w:left w:val="nil"/>
          <w:bottom w:val="nil"/>
          <w:right w:val="nil"/>
          <w:between w:val="nil"/>
        </w:pBdr>
        <w:spacing w:line="360" w:lineRule="auto"/>
        <w:ind w:left="360" w:hanging="709"/>
      </w:pPr>
      <w:r>
        <w:t>Reyes, H. J. (2012). "Política y Administración”. México.: Serie Praxis INAP.</w:t>
      </w:r>
    </w:p>
    <w:p w14:paraId="00000578" w14:textId="77777777" w:rsidR="00663CDF" w:rsidRDefault="00F71B39">
      <w:pPr>
        <w:pStyle w:val="Normal0"/>
        <w:widowControl w:val="0"/>
        <w:pBdr>
          <w:top w:val="nil"/>
          <w:left w:val="nil"/>
          <w:bottom w:val="nil"/>
          <w:right w:val="nil"/>
          <w:between w:val="nil"/>
        </w:pBdr>
        <w:spacing w:line="360" w:lineRule="auto"/>
        <w:ind w:left="360" w:hanging="709"/>
      </w:pPr>
      <w:r>
        <w:t>Rodríguez-Peñaherrera, C. (2000). "El Proceso de Reforma Administrativa en el Ecuador". SeminarioLatinoameric</w:t>
      </w:r>
    </w:p>
    <w:p w14:paraId="00000579" w14:textId="77777777" w:rsidR="00663CDF" w:rsidRDefault="00F71B39">
      <w:pPr>
        <w:pStyle w:val="Normal0"/>
        <w:widowControl w:val="0"/>
        <w:pBdr>
          <w:top w:val="nil"/>
          <w:left w:val="nil"/>
          <w:bottom w:val="nil"/>
          <w:right w:val="nil"/>
          <w:between w:val="nil"/>
        </w:pBdr>
        <w:spacing w:line="360" w:lineRule="auto"/>
        <w:ind w:left="360" w:hanging="709"/>
      </w:pPr>
      <w:r>
        <w:t>Rosario, H., &amp; Rosario, F. (2017). Gestión financiera. Editorial Universidad de Almería.</w:t>
      </w:r>
    </w:p>
    <w:p w14:paraId="0000057A" w14:textId="77777777" w:rsidR="00663CDF" w:rsidRDefault="00F71B39">
      <w:pPr>
        <w:pStyle w:val="Normal0"/>
        <w:widowControl w:val="0"/>
        <w:pBdr>
          <w:top w:val="nil"/>
          <w:left w:val="nil"/>
          <w:bottom w:val="nil"/>
          <w:right w:val="nil"/>
          <w:between w:val="nil"/>
        </w:pBdr>
        <w:spacing w:line="360" w:lineRule="auto"/>
        <w:ind w:left="360" w:hanging="709"/>
      </w:pPr>
      <w:r>
        <w:t>Rosen, H. (2002). Hacienda Pública. Madrid: Mc Graw Hill.</w:t>
      </w:r>
    </w:p>
    <w:p w14:paraId="0000057B" w14:textId="77777777" w:rsidR="00663CDF" w:rsidRDefault="00F71B39">
      <w:pPr>
        <w:pStyle w:val="Normal0"/>
        <w:widowControl w:val="0"/>
        <w:pBdr>
          <w:top w:val="nil"/>
          <w:left w:val="nil"/>
          <w:bottom w:val="nil"/>
          <w:right w:val="nil"/>
          <w:between w:val="nil"/>
        </w:pBdr>
        <w:spacing w:line="360" w:lineRule="auto"/>
        <w:ind w:left="360" w:hanging="709"/>
      </w:pPr>
      <w:r>
        <w:t>Ruiz, S., y Silva, P. (2017). El papel de la administración en la evolución humana. Acotaciones, n.° 62.</w:t>
      </w:r>
    </w:p>
    <w:p w14:paraId="0000057C" w14:textId="77777777" w:rsidR="00663CDF" w:rsidRDefault="00F71B39">
      <w:pPr>
        <w:pStyle w:val="Normal0"/>
        <w:widowControl w:val="0"/>
        <w:pBdr>
          <w:top w:val="nil"/>
          <w:left w:val="nil"/>
          <w:bottom w:val="nil"/>
          <w:right w:val="nil"/>
          <w:between w:val="nil"/>
        </w:pBdr>
        <w:spacing w:line="360" w:lineRule="auto"/>
        <w:ind w:left="360" w:hanging="709"/>
      </w:pPr>
      <w:r>
        <w:t>Sánchez P., J. M. (2014). Hacienda Pública Territorial. Bogotá, Colombia: Editorial Ibáñez.</w:t>
      </w:r>
    </w:p>
    <w:p w14:paraId="0000057D" w14:textId="77777777" w:rsidR="00663CDF" w:rsidRDefault="00F71B39">
      <w:pPr>
        <w:pStyle w:val="Normal0"/>
        <w:widowControl w:val="0"/>
        <w:pBdr>
          <w:top w:val="nil"/>
          <w:left w:val="nil"/>
          <w:bottom w:val="nil"/>
          <w:right w:val="nil"/>
          <w:between w:val="nil"/>
        </w:pBdr>
        <w:spacing w:line="360" w:lineRule="auto"/>
        <w:ind w:left="360" w:hanging="709"/>
      </w:pPr>
      <w:r>
        <w:t>Sánchez, Fabio; Niño, César; Rivas, José; et al… (2020). Manual de Ciencia Política y Relaciones Internacionales. – Bogotá: Universidad Sergio Arboleda. 305 p.</w:t>
      </w:r>
    </w:p>
    <w:p w14:paraId="0000057E" w14:textId="77777777" w:rsidR="00663CDF" w:rsidRDefault="00F71B39">
      <w:pPr>
        <w:pStyle w:val="Normal0"/>
        <w:widowControl w:val="0"/>
        <w:pBdr>
          <w:top w:val="nil"/>
          <w:left w:val="nil"/>
          <w:bottom w:val="nil"/>
          <w:right w:val="nil"/>
          <w:between w:val="nil"/>
        </w:pBdr>
        <w:spacing w:line="360" w:lineRule="auto"/>
        <w:ind w:left="360" w:hanging="709"/>
      </w:pPr>
      <w:r>
        <w:t>Schejtmann, Alexander; Berdegue, Julio. 2003. Desarrollo Territorial Rural. RIMISP, OFERTA. Santiago, Chile</w:t>
      </w:r>
    </w:p>
    <w:p w14:paraId="0000057F" w14:textId="77777777" w:rsidR="00663CDF" w:rsidRDefault="00F71B39">
      <w:pPr>
        <w:pStyle w:val="Normal0"/>
        <w:widowControl w:val="0"/>
        <w:pBdr>
          <w:top w:val="nil"/>
          <w:left w:val="nil"/>
          <w:bottom w:val="nil"/>
          <w:right w:val="nil"/>
          <w:between w:val="nil"/>
        </w:pBdr>
        <w:spacing w:line="360" w:lineRule="auto"/>
        <w:ind w:left="360" w:hanging="709"/>
      </w:pPr>
      <w:r>
        <w:t>Sepúlveda, Sergio; Rodríguez Adrián; Echeverri, Rafael. Portilla, Melania. 2003. El enfoque territorial del desarrollo rural. IICA. San José, Costa Rica.</w:t>
      </w:r>
    </w:p>
    <w:p w14:paraId="00000580" w14:textId="77777777" w:rsidR="00663CDF" w:rsidRDefault="00F71B39">
      <w:pPr>
        <w:pStyle w:val="Normal0"/>
        <w:widowControl w:val="0"/>
        <w:pBdr>
          <w:top w:val="nil"/>
          <w:left w:val="nil"/>
          <w:bottom w:val="nil"/>
          <w:right w:val="nil"/>
          <w:between w:val="nil"/>
        </w:pBdr>
        <w:spacing w:line="360" w:lineRule="auto"/>
        <w:ind w:left="360" w:hanging="709"/>
      </w:pPr>
      <w:r>
        <w:t>Soto, D. (2003). La descentralización en Colombia: centralismo o autonomía. Revista Opera, 3(3), 133-152.</w:t>
      </w:r>
    </w:p>
    <w:p w14:paraId="00000581" w14:textId="77777777" w:rsidR="00663CDF" w:rsidRDefault="00F71B39">
      <w:pPr>
        <w:pStyle w:val="Normal0"/>
        <w:widowControl w:val="0"/>
        <w:pBdr>
          <w:top w:val="nil"/>
          <w:left w:val="nil"/>
          <w:bottom w:val="nil"/>
          <w:right w:val="nil"/>
          <w:between w:val="nil"/>
        </w:pBdr>
        <w:spacing w:line="360" w:lineRule="auto"/>
        <w:ind w:left="360" w:hanging="709"/>
      </w:pPr>
      <w:r>
        <w:t>STANLEY B., Block; GEOFFREY A., Hirt (2001); “Fundamentos de Gerencia Financiera”.</w:t>
      </w:r>
    </w:p>
    <w:p w14:paraId="00000582" w14:textId="77777777" w:rsidR="00663CDF" w:rsidRDefault="00F71B39">
      <w:pPr>
        <w:pStyle w:val="Normal0"/>
        <w:widowControl w:val="0"/>
        <w:pBdr>
          <w:top w:val="nil"/>
          <w:left w:val="nil"/>
          <w:bottom w:val="nil"/>
          <w:right w:val="nil"/>
          <w:between w:val="nil"/>
        </w:pBdr>
        <w:spacing w:line="360" w:lineRule="auto"/>
        <w:ind w:left="360" w:hanging="709"/>
      </w:pPr>
      <w:r>
        <w:t>Sumpsi, José. 2006. Experiencias piloto de desarrollo local rural en América Latina: Lecciones del proyecto EXPIDER en Bolivia, Ecuador y Honduras. LICITACIÓN. Washington, DC Estados Unidos.</w:t>
      </w:r>
    </w:p>
    <w:p w14:paraId="00000583" w14:textId="77777777" w:rsidR="00663CDF" w:rsidRDefault="00F71B39">
      <w:pPr>
        <w:pStyle w:val="Normal0"/>
        <w:widowControl w:val="0"/>
        <w:pBdr>
          <w:top w:val="nil"/>
          <w:left w:val="nil"/>
          <w:bottom w:val="nil"/>
          <w:right w:val="nil"/>
          <w:between w:val="nil"/>
        </w:pBdr>
        <w:spacing w:line="360" w:lineRule="auto"/>
        <w:ind w:left="360" w:hanging="709"/>
      </w:pPr>
      <w:r>
        <w:t>Vidal, J. (1985). Derecho constitucional general. Bogotá</w:t>
      </w:r>
    </w:p>
    <w:p w14:paraId="00000584" w14:textId="77777777" w:rsidR="00663CDF" w:rsidRDefault="00F71B39">
      <w:pPr>
        <w:pStyle w:val="Normal0"/>
        <w:numPr>
          <w:ilvl w:val="0"/>
          <w:numId w:val="2"/>
        </w:numPr>
        <w:pBdr>
          <w:top w:val="nil"/>
          <w:left w:val="nil"/>
          <w:bottom w:val="nil"/>
          <w:right w:val="nil"/>
          <w:between w:val="nil"/>
        </w:pBdr>
        <w:spacing w:after="200" w:line="360" w:lineRule="auto"/>
        <w:rPr>
          <w:color w:val="000000"/>
        </w:rPr>
      </w:pPr>
      <w:r>
        <w:br w:type="page"/>
      </w:r>
    </w:p>
    <w:p w14:paraId="00000585" w14:textId="77777777" w:rsidR="00663CDF" w:rsidRDefault="00663CDF">
      <w:pPr>
        <w:pStyle w:val="Normal0"/>
        <w:spacing w:after="200" w:line="360" w:lineRule="auto"/>
      </w:pPr>
    </w:p>
    <w:p w14:paraId="00000586" w14:textId="77777777" w:rsidR="00663CDF" w:rsidRDefault="00F71B39">
      <w:pPr>
        <w:pStyle w:val="Ttulo1"/>
        <w:numPr>
          <w:ilvl w:val="0"/>
          <w:numId w:val="2"/>
        </w:numPr>
        <w:spacing w:line="360" w:lineRule="auto"/>
        <w:ind w:left="426" w:hanging="426"/>
      </w:pPr>
      <w:bookmarkStart w:id="72" w:name="_heading=h.213ti7ku5ocr" w:colFirst="0" w:colLast="0"/>
      <w:bookmarkEnd w:id="72"/>
      <w:r>
        <w:t>ANEXOS</w:t>
      </w:r>
    </w:p>
    <w:p w14:paraId="00000587" w14:textId="77777777" w:rsidR="00663CDF" w:rsidRDefault="00663CDF">
      <w:pPr>
        <w:pStyle w:val="Normal0"/>
        <w:spacing w:line="360" w:lineRule="auto"/>
      </w:pPr>
    </w:p>
    <w:p w14:paraId="00000588" w14:textId="77777777" w:rsidR="00663CDF" w:rsidRDefault="00F71B39">
      <w:pPr>
        <w:pStyle w:val="Normal0"/>
        <w:numPr>
          <w:ilvl w:val="0"/>
          <w:numId w:val="18"/>
        </w:numPr>
        <w:pBdr>
          <w:top w:val="nil"/>
          <w:left w:val="nil"/>
          <w:bottom w:val="nil"/>
          <w:right w:val="nil"/>
          <w:between w:val="nil"/>
        </w:pBdr>
        <w:spacing w:line="360" w:lineRule="auto"/>
        <w:rPr>
          <w:color w:val="000000"/>
        </w:rPr>
      </w:pPr>
      <w:r>
        <w:rPr>
          <w:color w:val="000000"/>
        </w:rPr>
        <w:t xml:space="preserve">Formatos de entrevistas </w:t>
      </w:r>
      <w:r>
        <w:t>aplicados para la investigación “INCIDENCIA DE LA CATEGORIZACIÓN EN LA GESTIÓN PÚBLICA Y DESARROLLO SOCIAL EN EL MUNICIPIO TURBACO 2016-2023”.</w:t>
      </w:r>
    </w:p>
    <w:p w14:paraId="00000589" w14:textId="77777777" w:rsidR="00663CDF" w:rsidRDefault="00663CDF" w:rsidP="113EF3A0">
      <w:pPr>
        <w:pStyle w:val="Normal0"/>
        <w:pBdr>
          <w:top w:val="nil"/>
          <w:left w:val="nil"/>
          <w:bottom w:val="nil"/>
          <w:right w:val="nil"/>
          <w:between w:val="nil"/>
        </w:pBdr>
        <w:spacing w:line="360" w:lineRule="auto"/>
        <w:ind w:left="720"/>
        <w:rPr>
          <w:color w:val="000000"/>
        </w:rPr>
      </w:pPr>
    </w:p>
    <w:p w14:paraId="38CFEAD2" w14:textId="2A7BD098" w:rsidR="113EF3A0" w:rsidRDefault="113EF3A0" w:rsidP="113EF3A0">
      <w:pPr>
        <w:pStyle w:val="Normal0"/>
        <w:pBdr>
          <w:top w:val="nil"/>
          <w:left w:val="nil"/>
          <w:bottom w:val="nil"/>
          <w:right w:val="nil"/>
          <w:between w:val="nil"/>
        </w:pBdr>
        <w:spacing w:line="360" w:lineRule="auto"/>
        <w:ind w:left="720"/>
        <w:rPr>
          <w:color w:val="000000" w:themeColor="text1"/>
        </w:rPr>
      </w:pPr>
    </w:p>
    <w:p w14:paraId="5882C49F" w14:textId="0D76E2EE" w:rsidR="113EF3A0" w:rsidRDefault="113EF3A0" w:rsidP="113EF3A0">
      <w:pPr>
        <w:pStyle w:val="Normal0"/>
        <w:pBdr>
          <w:top w:val="nil"/>
          <w:left w:val="nil"/>
          <w:bottom w:val="nil"/>
          <w:right w:val="nil"/>
          <w:between w:val="nil"/>
        </w:pBdr>
        <w:spacing w:line="360" w:lineRule="auto"/>
        <w:ind w:left="720"/>
        <w:rPr>
          <w:color w:val="000000" w:themeColor="text1"/>
        </w:rPr>
      </w:pPr>
    </w:p>
    <w:p w14:paraId="0C533D9B" w14:textId="4EBC313E" w:rsidR="113EF3A0" w:rsidRDefault="113EF3A0" w:rsidP="113EF3A0">
      <w:pPr>
        <w:pStyle w:val="Normal0"/>
        <w:pBdr>
          <w:top w:val="nil"/>
          <w:left w:val="nil"/>
          <w:bottom w:val="nil"/>
          <w:right w:val="nil"/>
          <w:between w:val="nil"/>
        </w:pBdr>
        <w:spacing w:line="360" w:lineRule="auto"/>
        <w:ind w:left="720"/>
        <w:rPr>
          <w:color w:val="000000" w:themeColor="text1"/>
        </w:rPr>
      </w:pPr>
    </w:p>
    <w:p w14:paraId="0E1DF907" w14:textId="4FFC9505" w:rsidR="113EF3A0" w:rsidRDefault="113EF3A0" w:rsidP="113EF3A0">
      <w:pPr>
        <w:pStyle w:val="Normal0"/>
        <w:pBdr>
          <w:top w:val="nil"/>
          <w:left w:val="nil"/>
          <w:bottom w:val="nil"/>
          <w:right w:val="nil"/>
          <w:between w:val="nil"/>
        </w:pBdr>
        <w:spacing w:line="360" w:lineRule="auto"/>
        <w:ind w:left="720"/>
        <w:rPr>
          <w:color w:val="000000" w:themeColor="text1"/>
        </w:rPr>
      </w:pPr>
    </w:p>
    <w:p w14:paraId="7EEF844A" w14:textId="6C437529" w:rsidR="113EF3A0" w:rsidRDefault="113EF3A0" w:rsidP="113EF3A0">
      <w:pPr>
        <w:pStyle w:val="Normal0"/>
        <w:pBdr>
          <w:top w:val="nil"/>
          <w:left w:val="nil"/>
          <w:bottom w:val="nil"/>
          <w:right w:val="nil"/>
          <w:between w:val="nil"/>
        </w:pBdr>
        <w:spacing w:line="360" w:lineRule="auto"/>
        <w:ind w:left="720"/>
        <w:rPr>
          <w:color w:val="000000" w:themeColor="text1"/>
        </w:rPr>
      </w:pPr>
    </w:p>
    <w:p w14:paraId="3540DF1F" w14:textId="13E68926" w:rsidR="113EF3A0" w:rsidRDefault="113EF3A0" w:rsidP="113EF3A0">
      <w:pPr>
        <w:pStyle w:val="Normal0"/>
        <w:pBdr>
          <w:top w:val="nil"/>
          <w:left w:val="nil"/>
          <w:bottom w:val="nil"/>
          <w:right w:val="nil"/>
          <w:between w:val="nil"/>
        </w:pBdr>
        <w:spacing w:line="360" w:lineRule="auto"/>
        <w:ind w:left="720"/>
        <w:rPr>
          <w:color w:val="000000" w:themeColor="text1"/>
        </w:rPr>
      </w:pPr>
    </w:p>
    <w:p w14:paraId="126651D1" w14:textId="4B32F204" w:rsidR="113EF3A0" w:rsidRDefault="113EF3A0" w:rsidP="113EF3A0">
      <w:pPr>
        <w:pStyle w:val="Normal0"/>
        <w:pBdr>
          <w:top w:val="nil"/>
          <w:left w:val="nil"/>
          <w:bottom w:val="nil"/>
          <w:right w:val="nil"/>
          <w:between w:val="nil"/>
        </w:pBdr>
        <w:spacing w:line="360" w:lineRule="auto"/>
        <w:ind w:left="720"/>
        <w:rPr>
          <w:color w:val="000000" w:themeColor="text1"/>
        </w:rPr>
      </w:pPr>
    </w:p>
    <w:p w14:paraId="432DFC11" w14:textId="3A41EFBC" w:rsidR="113EF3A0" w:rsidRDefault="113EF3A0" w:rsidP="113EF3A0">
      <w:pPr>
        <w:pStyle w:val="Normal0"/>
        <w:pBdr>
          <w:top w:val="nil"/>
          <w:left w:val="nil"/>
          <w:bottom w:val="nil"/>
          <w:right w:val="nil"/>
          <w:between w:val="nil"/>
        </w:pBdr>
        <w:spacing w:line="360" w:lineRule="auto"/>
        <w:ind w:left="720"/>
        <w:rPr>
          <w:color w:val="000000" w:themeColor="text1"/>
        </w:rPr>
      </w:pPr>
    </w:p>
    <w:p w14:paraId="698181C8" w14:textId="7EB7264F" w:rsidR="113EF3A0" w:rsidRDefault="113EF3A0" w:rsidP="113EF3A0">
      <w:pPr>
        <w:pStyle w:val="Normal0"/>
        <w:pBdr>
          <w:top w:val="nil"/>
          <w:left w:val="nil"/>
          <w:bottom w:val="nil"/>
          <w:right w:val="nil"/>
          <w:between w:val="nil"/>
        </w:pBdr>
        <w:spacing w:line="360" w:lineRule="auto"/>
        <w:ind w:left="720"/>
        <w:rPr>
          <w:color w:val="000000" w:themeColor="text1"/>
        </w:rPr>
      </w:pPr>
    </w:p>
    <w:p w14:paraId="59F6FD59" w14:textId="115D976E" w:rsidR="113EF3A0" w:rsidRDefault="113EF3A0" w:rsidP="113EF3A0">
      <w:pPr>
        <w:pStyle w:val="Normal0"/>
        <w:pBdr>
          <w:top w:val="nil"/>
          <w:left w:val="nil"/>
          <w:bottom w:val="nil"/>
          <w:right w:val="nil"/>
          <w:between w:val="nil"/>
        </w:pBdr>
        <w:spacing w:line="360" w:lineRule="auto"/>
        <w:ind w:left="720"/>
        <w:rPr>
          <w:color w:val="000000" w:themeColor="text1"/>
        </w:rPr>
      </w:pPr>
    </w:p>
    <w:p w14:paraId="366033E1" w14:textId="1D794C75" w:rsidR="113EF3A0" w:rsidRDefault="113EF3A0" w:rsidP="113EF3A0">
      <w:pPr>
        <w:pStyle w:val="Normal0"/>
        <w:pBdr>
          <w:top w:val="nil"/>
          <w:left w:val="nil"/>
          <w:bottom w:val="nil"/>
          <w:right w:val="nil"/>
          <w:between w:val="nil"/>
        </w:pBdr>
        <w:spacing w:line="360" w:lineRule="auto"/>
        <w:ind w:left="720"/>
        <w:rPr>
          <w:color w:val="000000" w:themeColor="text1"/>
        </w:rPr>
      </w:pPr>
    </w:p>
    <w:p w14:paraId="3B787528" w14:textId="71903EDF" w:rsidR="113EF3A0" w:rsidRDefault="113EF3A0" w:rsidP="113EF3A0">
      <w:pPr>
        <w:pStyle w:val="Normal0"/>
        <w:pBdr>
          <w:top w:val="nil"/>
          <w:left w:val="nil"/>
          <w:bottom w:val="nil"/>
          <w:right w:val="nil"/>
          <w:between w:val="nil"/>
        </w:pBdr>
        <w:spacing w:line="360" w:lineRule="auto"/>
        <w:ind w:left="720"/>
        <w:rPr>
          <w:color w:val="000000" w:themeColor="text1"/>
        </w:rPr>
      </w:pPr>
    </w:p>
    <w:p w14:paraId="76E1B0A3" w14:textId="2CE56A04" w:rsidR="113EF3A0" w:rsidRDefault="113EF3A0" w:rsidP="113EF3A0">
      <w:pPr>
        <w:pStyle w:val="Normal0"/>
        <w:pBdr>
          <w:top w:val="nil"/>
          <w:left w:val="nil"/>
          <w:bottom w:val="nil"/>
          <w:right w:val="nil"/>
          <w:between w:val="nil"/>
        </w:pBdr>
        <w:spacing w:line="360" w:lineRule="auto"/>
        <w:ind w:left="720"/>
        <w:rPr>
          <w:color w:val="000000" w:themeColor="text1"/>
        </w:rPr>
      </w:pPr>
    </w:p>
    <w:p w14:paraId="204E96C9" w14:textId="77C5A978" w:rsidR="113EF3A0" w:rsidRDefault="113EF3A0" w:rsidP="113EF3A0">
      <w:pPr>
        <w:pStyle w:val="Normal0"/>
        <w:pBdr>
          <w:top w:val="nil"/>
          <w:left w:val="nil"/>
          <w:bottom w:val="nil"/>
          <w:right w:val="nil"/>
          <w:between w:val="nil"/>
        </w:pBdr>
        <w:spacing w:line="360" w:lineRule="auto"/>
        <w:ind w:left="720"/>
        <w:rPr>
          <w:color w:val="000000" w:themeColor="text1"/>
        </w:rPr>
      </w:pPr>
    </w:p>
    <w:p w14:paraId="7D90BC9E" w14:textId="178C39CC" w:rsidR="113EF3A0" w:rsidRDefault="113EF3A0" w:rsidP="113EF3A0">
      <w:pPr>
        <w:pStyle w:val="Normal0"/>
        <w:pBdr>
          <w:top w:val="nil"/>
          <w:left w:val="nil"/>
          <w:bottom w:val="nil"/>
          <w:right w:val="nil"/>
          <w:between w:val="nil"/>
        </w:pBdr>
        <w:spacing w:line="360" w:lineRule="auto"/>
        <w:ind w:left="720"/>
        <w:rPr>
          <w:color w:val="000000" w:themeColor="text1"/>
        </w:rPr>
      </w:pPr>
    </w:p>
    <w:p w14:paraId="7109517C" w14:textId="6E6A21B1" w:rsidR="113EF3A0" w:rsidRDefault="113EF3A0" w:rsidP="113EF3A0">
      <w:pPr>
        <w:pStyle w:val="Normal0"/>
        <w:pBdr>
          <w:top w:val="nil"/>
          <w:left w:val="nil"/>
          <w:bottom w:val="nil"/>
          <w:right w:val="nil"/>
          <w:between w:val="nil"/>
        </w:pBdr>
        <w:spacing w:line="360" w:lineRule="auto"/>
        <w:ind w:left="720"/>
        <w:rPr>
          <w:color w:val="000000" w:themeColor="text1"/>
        </w:rPr>
      </w:pPr>
    </w:p>
    <w:p w14:paraId="1C0E5CCF" w14:textId="2729D00C" w:rsidR="113EF3A0" w:rsidRDefault="113EF3A0" w:rsidP="113EF3A0">
      <w:pPr>
        <w:pStyle w:val="Normal0"/>
        <w:pBdr>
          <w:top w:val="nil"/>
          <w:left w:val="nil"/>
          <w:bottom w:val="nil"/>
          <w:right w:val="nil"/>
          <w:between w:val="nil"/>
        </w:pBdr>
        <w:spacing w:line="360" w:lineRule="auto"/>
        <w:ind w:left="720"/>
        <w:rPr>
          <w:color w:val="000000" w:themeColor="text1"/>
        </w:rPr>
      </w:pPr>
    </w:p>
    <w:p w14:paraId="1B040936" w14:textId="7F6FEAD3" w:rsidR="113EF3A0" w:rsidRDefault="113EF3A0" w:rsidP="113EF3A0">
      <w:pPr>
        <w:pStyle w:val="Normal0"/>
        <w:pBdr>
          <w:top w:val="nil"/>
          <w:left w:val="nil"/>
          <w:bottom w:val="nil"/>
          <w:right w:val="nil"/>
          <w:between w:val="nil"/>
        </w:pBdr>
        <w:spacing w:line="360" w:lineRule="auto"/>
        <w:ind w:left="720"/>
        <w:rPr>
          <w:color w:val="000000" w:themeColor="text1"/>
        </w:rPr>
      </w:pPr>
    </w:p>
    <w:p w14:paraId="17A62351" w14:textId="2B625E19" w:rsidR="113EF3A0" w:rsidRDefault="113EF3A0" w:rsidP="113EF3A0">
      <w:pPr>
        <w:pStyle w:val="Normal0"/>
        <w:pBdr>
          <w:top w:val="nil"/>
          <w:left w:val="nil"/>
          <w:bottom w:val="nil"/>
          <w:right w:val="nil"/>
          <w:between w:val="nil"/>
        </w:pBdr>
        <w:spacing w:line="360" w:lineRule="auto"/>
        <w:ind w:left="720"/>
        <w:rPr>
          <w:color w:val="000000" w:themeColor="text1"/>
        </w:rPr>
      </w:pPr>
    </w:p>
    <w:p w14:paraId="1A77CAD5" w14:textId="08DA2E5D" w:rsidR="113EF3A0" w:rsidRDefault="113EF3A0" w:rsidP="113EF3A0">
      <w:pPr>
        <w:pStyle w:val="Normal0"/>
        <w:pBdr>
          <w:top w:val="nil"/>
          <w:left w:val="nil"/>
          <w:bottom w:val="nil"/>
          <w:right w:val="nil"/>
          <w:between w:val="nil"/>
        </w:pBdr>
        <w:spacing w:line="360" w:lineRule="auto"/>
        <w:ind w:left="720"/>
        <w:rPr>
          <w:color w:val="000000" w:themeColor="text1"/>
        </w:rPr>
      </w:pPr>
    </w:p>
    <w:p w14:paraId="36F8DDAD" w14:textId="0EBB44FB" w:rsidR="113EF3A0" w:rsidRDefault="113EF3A0" w:rsidP="113EF3A0">
      <w:pPr>
        <w:pStyle w:val="Normal0"/>
        <w:pBdr>
          <w:top w:val="nil"/>
          <w:left w:val="nil"/>
          <w:bottom w:val="nil"/>
          <w:right w:val="nil"/>
          <w:between w:val="nil"/>
        </w:pBdr>
        <w:spacing w:line="360" w:lineRule="auto"/>
        <w:ind w:left="720"/>
        <w:rPr>
          <w:color w:val="000000" w:themeColor="text1"/>
        </w:rPr>
      </w:pPr>
    </w:p>
    <w:p w14:paraId="032211F9" w14:textId="0DB7AD2C" w:rsidR="113EF3A0" w:rsidRDefault="113EF3A0" w:rsidP="113EF3A0">
      <w:pPr>
        <w:pStyle w:val="Normal0"/>
        <w:pBdr>
          <w:top w:val="nil"/>
          <w:left w:val="nil"/>
          <w:bottom w:val="nil"/>
          <w:right w:val="nil"/>
          <w:between w:val="nil"/>
        </w:pBdr>
        <w:spacing w:line="360" w:lineRule="auto"/>
        <w:ind w:left="720"/>
        <w:rPr>
          <w:color w:val="000000" w:themeColor="text1"/>
        </w:rPr>
      </w:pPr>
    </w:p>
    <w:p w14:paraId="2D1D0640" w14:textId="42BEAF66" w:rsidR="113EF3A0" w:rsidRDefault="113EF3A0" w:rsidP="113EF3A0">
      <w:pPr>
        <w:pStyle w:val="Normal0"/>
        <w:pBdr>
          <w:top w:val="nil"/>
          <w:left w:val="nil"/>
          <w:bottom w:val="nil"/>
          <w:right w:val="nil"/>
          <w:between w:val="nil"/>
        </w:pBdr>
        <w:spacing w:line="360" w:lineRule="auto"/>
        <w:ind w:left="720"/>
        <w:rPr>
          <w:color w:val="000000" w:themeColor="text1"/>
        </w:rPr>
      </w:pPr>
    </w:p>
    <w:p w14:paraId="5F13298F" w14:textId="2586F2FE" w:rsidR="113EF3A0" w:rsidRDefault="113EF3A0" w:rsidP="113EF3A0">
      <w:pPr>
        <w:pStyle w:val="Normal0"/>
        <w:pBdr>
          <w:top w:val="nil"/>
          <w:left w:val="nil"/>
          <w:bottom w:val="nil"/>
          <w:right w:val="nil"/>
          <w:between w:val="nil"/>
        </w:pBdr>
        <w:spacing w:line="360" w:lineRule="auto"/>
        <w:ind w:left="720"/>
        <w:rPr>
          <w:color w:val="000000" w:themeColor="text1"/>
        </w:rPr>
      </w:pPr>
    </w:p>
    <w:p w14:paraId="0469D881" w14:textId="517EC365" w:rsidR="7176610A" w:rsidRDefault="7176610A" w:rsidP="113EF3A0">
      <w:pPr>
        <w:jc w:val="center"/>
        <w:rPr>
          <w:color w:val="000000" w:themeColor="text1"/>
        </w:rPr>
      </w:pPr>
      <w:r w:rsidRPr="113EF3A0">
        <w:rPr>
          <w:b/>
          <w:bCs/>
          <w:color w:val="000000" w:themeColor="text1"/>
          <w:lang w:val="es-ES"/>
        </w:rPr>
        <w:t>UNIVERSIDAD DE CARTAGENA</w:t>
      </w:r>
    </w:p>
    <w:p w14:paraId="777506DD" w14:textId="58BD0DCF" w:rsidR="7176610A" w:rsidRDefault="7176610A" w:rsidP="113EF3A0">
      <w:pPr>
        <w:spacing w:line="360" w:lineRule="auto"/>
        <w:rPr>
          <w:color w:val="000000" w:themeColor="text1"/>
          <w:sz w:val="22"/>
          <w:szCs w:val="22"/>
        </w:rPr>
      </w:pPr>
      <w:r w:rsidRPr="113EF3A0">
        <w:rPr>
          <w:b/>
          <w:bCs/>
          <w:color w:val="000000" w:themeColor="text1"/>
          <w:lang w:val="es-ES"/>
        </w:rPr>
        <w:t xml:space="preserve">PROYECTO:  </w:t>
      </w:r>
      <w:r w:rsidRPr="113EF3A0">
        <w:rPr>
          <w:b/>
          <w:bCs/>
          <w:color w:val="000000" w:themeColor="text1"/>
          <w:sz w:val="22"/>
          <w:szCs w:val="22"/>
          <w:lang w:val="es-ES"/>
        </w:rPr>
        <w:t>INCIDENCIA DE LA CATEGORIZACIÓN EN LA GESTIÓN PÚBLICA Y DESARROLLO SOCIAL EN EL MUNICIPIO DE TURBACO 2016-2023</w:t>
      </w:r>
    </w:p>
    <w:p w14:paraId="31A1821C" w14:textId="58067E1C" w:rsidR="113EF3A0" w:rsidRDefault="113EF3A0" w:rsidP="113EF3A0">
      <w:pPr>
        <w:spacing w:line="360" w:lineRule="auto"/>
        <w:jc w:val="center"/>
        <w:rPr>
          <w:color w:val="000000" w:themeColor="text1"/>
          <w:sz w:val="22"/>
          <w:szCs w:val="22"/>
        </w:rPr>
      </w:pPr>
    </w:p>
    <w:p w14:paraId="5A24023D" w14:textId="55C67865" w:rsidR="7176610A" w:rsidRDefault="7176610A" w:rsidP="113EF3A0">
      <w:pPr>
        <w:spacing w:line="360" w:lineRule="auto"/>
        <w:rPr>
          <w:color w:val="000000" w:themeColor="text1"/>
        </w:rPr>
      </w:pPr>
      <w:r w:rsidRPr="113EF3A0">
        <w:rPr>
          <w:color w:val="000000" w:themeColor="text1"/>
          <w:lang w:val="es-CL"/>
        </w:rPr>
        <w:t>Para la realización del presente estudio se han utilizado técnicas de recolección de datos cualitativas tales como: a) la revisión documental; b) la entrevista semi-dirigida.</w:t>
      </w:r>
    </w:p>
    <w:p w14:paraId="2A2C7F95" w14:textId="769B6F50" w:rsidR="7176610A" w:rsidRDefault="7176610A" w:rsidP="113EF3A0">
      <w:pPr>
        <w:spacing w:line="360" w:lineRule="auto"/>
        <w:rPr>
          <w:color w:val="000000" w:themeColor="text1"/>
        </w:rPr>
      </w:pPr>
      <w:r w:rsidRPr="113EF3A0">
        <w:rPr>
          <w:color w:val="000000" w:themeColor="text1"/>
          <w:lang w:val="es-CL"/>
        </w:rPr>
        <w:t xml:space="preserve">En cuanto a la primera técnica se han recolectado y analizado más de una docena de documentos técnicos y normativos, incluyendo informes oficiales, bases de datos gubernamentales y legislación </w:t>
      </w:r>
      <w:proofErr w:type="gramStart"/>
      <w:r w:rsidRPr="113EF3A0">
        <w:rPr>
          <w:color w:val="000000" w:themeColor="text1"/>
          <w:lang w:val="es-CL"/>
        </w:rPr>
        <w:t xml:space="preserve">nacional </w:t>
      </w:r>
      <w:r w:rsidRPr="113EF3A0">
        <w:rPr>
          <w:color w:val="000000" w:themeColor="text1"/>
        </w:rPr>
        <w:t xml:space="preserve"> tales</w:t>
      </w:r>
      <w:proofErr w:type="gramEnd"/>
      <w:r w:rsidRPr="113EF3A0">
        <w:rPr>
          <w:color w:val="000000" w:themeColor="text1"/>
        </w:rPr>
        <w:t xml:space="preserve"> como: Terridata, Sisben,</w:t>
      </w:r>
      <w:r w:rsidRPr="113EF3A0">
        <w:rPr>
          <w:b/>
          <w:bCs/>
          <w:color w:val="000000" w:themeColor="text1"/>
          <w:sz w:val="22"/>
          <w:szCs w:val="22"/>
        </w:rPr>
        <w:t xml:space="preserve"> </w:t>
      </w:r>
      <w:r w:rsidRPr="113EF3A0">
        <w:rPr>
          <w:color w:val="000000" w:themeColor="text1"/>
        </w:rPr>
        <w:t xml:space="preserve">Sistema de Planeación Territorial (SisPT) y los Informes de desempeño fiscal entre otros. </w:t>
      </w:r>
      <w:r w:rsidRPr="113EF3A0">
        <w:rPr>
          <w:color w:val="000000" w:themeColor="text1"/>
          <w:lang w:val="es-CL"/>
        </w:rPr>
        <w:t xml:space="preserve"> A su vez estos documentos sirven para responder a los objetivos específicos </w:t>
      </w:r>
      <w:proofErr w:type="gramStart"/>
      <w:r w:rsidRPr="113EF3A0">
        <w:rPr>
          <w:color w:val="000000" w:themeColor="text1"/>
          <w:lang w:val="es-CL"/>
        </w:rPr>
        <w:t>dela</w:t>
      </w:r>
      <w:proofErr w:type="gramEnd"/>
      <w:r w:rsidRPr="113EF3A0">
        <w:rPr>
          <w:color w:val="000000" w:themeColor="text1"/>
          <w:lang w:val="es-CL"/>
        </w:rPr>
        <w:t xml:space="preserve"> investigación, por lo tanto, su búsqueda se basó desde las siguientes unidades de análisis: características contextuales sobre la gestión pública territorial, cambios en la estructura organizacional, política descentralización política, fiscal y administrativa, seguimiento y evaluación de las finanzas territoriales. </w:t>
      </w:r>
    </w:p>
    <w:p w14:paraId="31A4A479" w14:textId="70225FB7" w:rsidR="7176610A" w:rsidRDefault="7176610A" w:rsidP="113EF3A0">
      <w:pPr>
        <w:spacing w:line="360" w:lineRule="auto"/>
        <w:rPr>
          <w:color w:val="000000" w:themeColor="text1"/>
        </w:rPr>
      </w:pPr>
      <w:r w:rsidRPr="113EF3A0">
        <w:rPr>
          <w:color w:val="000000" w:themeColor="text1"/>
          <w:lang w:val="es-CL"/>
        </w:rPr>
        <w:t>En cuanto a la segunda técnica, en consideración a las particularidades del ámbito en el cual se desarrolló esta investigación, se ha diseñan formato de entrevista semi-estructurada para que los</w:t>
      </w:r>
      <w:r w:rsidRPr="113EF3A0">
        <w:rPr>
          <w:b/>
          <w:bCs/>
          <w:color w:val="000000" w:themeColor="text1"/>
          <w:lang w:val="es-CL"/>
        </w:rPr>
        <w:t xml:space="preserve"> 6</w:t>
      </w:r>
      <w:r w:rsidRPr="113EF3A0">
        <w:rPr>
          <w:color w:val="000000" w:themeColor="text1"/>
          <w:lang w:val="es-CL"/>
        </w:rPr>
        <w:t xml:space="preserve"> actores puedan brindar información en profundidad sobre los objetivos específicos de la presente investigación. Este tipo de entrevista no restringe la libertad de expresión del entrevistado, sino que el entrevistador lo va orientando en la dirección de las respuestas según una guía que responde a los objetivos específicos del estudio en cuestión </w:t>
      </w:r>
      <w:r w:rsidRPr="113EF3A0">
        <w:rPr>
          <w:color w:val="000000" w:themeColor="text1"/>
        </w:rPr>
        <w:t xml:space="preserve">(Baeza, 2002). Para el </w:t>
      </w:r>
      <w:r w:rsidRPr="113EF3A0">
        <w:rPr>
          <w:color w:val="000000" w:themeColor="text1"/>
          <w:lang w:val="es-ES"/>
        </w:rPr>
        <w:t>análisis se utiliza la triangulación hermenéutica</w:t>
      </w:r>
      <w:r w:rsidRPr="113EF3A0">
        <w:rPr>
          <w:i/>
          <w:iCs/>
          <w:color w:val="000000" w:themeColor="text1"/>
          <w:lang w:val="es-ES"/>
        </w:rPr>
        <w:t xml:space="preserve"> </w:t>
      </w:r>
      <w:r w:rsidRPr="113EF3A0">
        <w:rPr>
          <w:color w:val="000000" w:themeColor="text1"/>
          <w:lang w:val="es-ES"/>
        </w:rPr>
        <w:t xml:space="preserve">(Cisterna, 2005) por medio de la cual se procede a relacionar y cruzar la información pertinente para cada unidad o categoría de análisis, surgida de la recolección de las fuentes utilizadas, estableciendo conclusiones, agrupando respuestas por unidad valorando semejanzas y diferencias en cada instrumento de recolección. </w:t>
      </w:r>
    </w:p>
    <w:p w14:paraId="334D003C" w14:textId="57866DA9" w:rsidR="113EF3A0" w:rsidRDefault="113EF3A0" w:rsidP="113EF3A0">
      <w:pPr>
        <w:spacing w:line="360" w:lineRule="auto"/>
        <w:rPr>
          <w:color w:val="000000" w:themeColor="text1"/>
        </w:rPr>
      </w:pPr>
    </w:p>
    <w:p w14:paraId="69113697" w14:textId="089100B7" w:rsidR="7176610A" w:rsidRDefault="7176610A" w:rsidP="113EF3A0">
      <w:pPr>
        <w:spacing w:line="360" w:lineRule="auto"/>
        <w:rPr>
          <w:color w:val="000000" w:themeColor="text1"/>
        </w:rPr>
      </w:pPr>
      <w:r w:rsidRPr="113EF3A0">
        <w:rPr>
          <w:color w:val="000000" w:themeColor="text1"/>
          <w:lang w:val="es-ES"/>
        </w:rPr>
        <w:t>triangular información de cada estamento (entre sujetos entrevistados y entre los documentados recolectados) Para efectos de analizar los datos recolectados se realizó una sistematización de los mismos en un primer nivel el cual refiere a la transcripción textual de las entrevistas y codificación de párrafos principales de los documentos encontrados</w:t>
      </w:r>
    </w:p>
    <w:p w14:paraId="2EA18E23" w14:textId="3B0BECAD" w:rsidR="113EF3A0" w:rsidRDefault="113EF3A0" w:rsidP="113EF3A0">
      <w:pPr>
        <w:spacing w:line="360" w:lineRule="auto"/>
        <w:jc w:val="center"/>
        <w:rPr>
          <w:color w:val="000000" w:themeColor="text1"/>
          <w:sz w:val="22"/>
          <w:szCs w:val="22"/>
        </w:rPr>
      </w:pPr>
    </w:p>
    <w:p w14:paraId="3B4FD106" w14:textId="60B58F82" w:rsidR="7176610A" w:rsidRDefault="7176610A" w:rsidP="113EF3A0">
      <w:pPr>
        <w:rPr>
          <w:color w:val="000000" w:themeColor="text1"/>
        </w:rPr>
      </w:pPr>
      <w:r w:rsidRPr="113EF3A0">
        <w:rPr>
          <w:b/>
          <w:bCs/>
          <w:color w:val="000000" w:themeColor="text1"/>
        </w:rPr>
        <w:t>Guía de entrevista dirigida a actores de la comunidad de Turbaco</w:t>
      </w:r>
    </w:p>
    <w:p w14:paraId="0526EF0F" w14:textId="5EBDDC81" w:rsidR="113EF3A0" w:rsidRDefault="113EF3A0" w:rsidP="113EF3A0">
      <w:pPr>
        <w:rPr>
          <w:color w:val="000000" w:themeColor="text1"/>
        </w:rPr>
      </w:pPr>
    </w:p>
    <w:p w14:paraId="66350A03" w14:textId="2FA99A85" w:rsidR="7176610A" w:rsidRDefault="7176610A" w:rsidP="113EF3A0">
      <w:pPr>
        <w:rPr>
          <w:color w:val="000000" w:themeColor="text1"/>
        </w:rPr>
      </w:pPr>
      <w:r w:rsidRPr="113EF3A0">
        <w:rPr>
          <w:color w:val="000000" w:themeColor="text1"/>
        </w:rPr>
        <w:t>1-Características Socio-Demográficas:</w:t>
      </w:r>
    </w:p>
    <w:p w14:paraId="2016516E" w14:textId="7093D9BE" w:rsidR="7176610A" w:rsidRDefault="7176610A" w:rsidP="113EF3A0">
      <w:pPr>
        <w:rPr>
          <w:color w:val="000000" w:themeColor="text1"/>
        </w:rPr>
      </w:pPr>
      <w:r w:rsidRPr="113EF3A0">
        <w:rPr>
          <w:color w:val="000000" w:themeColor="text1"/>
        </w:rPr>
        <w:t>Edad, Procedencia, Experiencia laboral, Vinculación Nivel educativo, Ocupación actual</w:t>
      </w:r>
    </w:p>
    <w:p w14:paraId="4AAD82AF" w14:textId="3E149898" w:rsidR="113EF3A0" w:rsidRDefault="113EF3A0" w:rsidP="113EF3A0">
      <w:pPr>
        <w:rPr>
          <w:color w:val="000000" w:themeColor="text1"/>
        </w:rPr>
      </w:pPr>
    </w:p>
    <w:p w14:paraId="4BE46C66" w14:textId="75DFB481" w:rsidR="7176610A" w:rsidRDefault="7176610A" w:rsidP="113EF3A0">
      <w:pPr>
        <w:rPr>
          <w:color w:val="000000" w:themeColor="text1"/>
        </w:rPr>
      </w:pPr>
      <w:r w:rsidRPr="113EF3A0">
        <w:rPr>
          <w:b/>
          <w:bCs/>
          <w:color w:val="000000" w:themeColor="text1"/>
        </w:rPr>
        <w:t>Resumen de participantes:</w:t>
      </w:r>
    </w:p>
    <w:tbl>
      <w:tblPr>
        <w:tblStyle w:val="Tablaconcuadrculaclara"/>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640"/>
        <w:gridCol w:w="2700"/>
        <w:gridCol w:w="1590"/>
        <w:gridCol w:w="1875"/>
      </w:tblGrid>
      <w:tr w:rsidR="113EF3A0" w14:paraId="028D0B2B" w14:textId="77777777" w:rsidTr="113EF3A0">
        <w:trPr>
          <w:trHeight w:val="300"/>
        </w:trPr>
        <w:tc>
          <w:tcPr>
            <w:tcW w:w="2640" w:type="dxa"/>
            <w:tcMar>
              <w:left w:w="105" w:type="dxa"/>
              <w:right w:w="105" w:type="dxa"/>
            </w:tcMar>
          </w:tcPr>
          <w:p w14:paraId="5A90B8DB" w14:textId="007E97C4" w:rsidR="113EF3A0" w:rsidRDefault="113EF3A0" w:rsidP="113EF3A0">
            <w:pPr>
              <w:spacing w:after="160" w:line="259" w:lineRule="auto"/>
            </w:pPr>
            <w:r w:rsidRPr="113EF3A0">
              <w:rPr>
                <w:b/>
                <w:bCs/>
              </w:rPr>
              <w:t>Entrevistado</w:t>
            </w:r>
          </w:p>
        </w:tc>
        <w:tc>
          <w:tcPr>
            <w:tcW w:w="2700" w:type="dxa"/>
            <w:tcMar>
              <w:left w:w="105" w:type="dxa"/>
              <w:right w:w="105" w:type="dxa"/>
            </w:tcMar>
          </w:tcPr>
          <w:p w14:paraId="67EC3719" w14:textId="3443C472" w:rsidR="113EF3A0" w:rsidRDefault="113EF3A0" w:rsidP="113EF3A0">
            <w:pPr>
              <w:spacing w:after="160" w:line="259" w:lineRule="auto"/>
            </w:pPr>
            <w:r w:rsidRPr="113EF3A0">
              <w:rPr>
                <w:b/>
                <w:bCs/>
              </w:rPr>
              <w:t>Profesión/ocupación</w:t>
            </w:r>
          </w:p>
        </w:tc>
        <w:tc>
          <w:tcPr>
            <w:tcW w:w="1590" w:type="dxa"/>
            <w:tcMar>
              <w:left w:w="105" w:type="dxa"/>
              <w:right w:w="105" w:type="dxa"/>
            </w:tcMar>
          </w:tcPr>
          <w:p w14:paraId="1D29961F" w14:textId="11858200" w:rsidR="113EF3A0" w:rsidRDefault="113EF3A0" w:rsidP="113EF3A0">
            <w:pPr>
              <w:rPr>
                <w:rFonts w:ascii="Calibri" w:eastAsia="Calibri" w:hAnsi="Calibri" w:cs="Calibri"/>
                <w:sz w:val="22"/>
                <w:szCs w:val="22"/>
              </w:rPr>
            </w:pPr>
            <w:r w:rsidRPr="113EF3A0">
              <w:rPr>
                <w:rFonts w:ascii="Calibri" w:eastAsia="Calibri" w:hAnsi="Calibri" w:cs="Calibri"/>
                <w:b/>
                <w:bCs/>
                <w:sz w:val="22"/>
                <w:szCs w:val="22"/>
              </w:rPr>
              <w:t>Barrio de Residencia</w:t>
            </w:r>
          </w:p>
        </w:tc>
        <w:tc>
          <w:tcPr>
            <w:tcW w:w="1875" w:type="dxa"/>
            <w:tcMar>
              <w:left w:w="105" w:type="dxa"/>
              <w:right w:w="105" w:type="dxa"/>
            </w:tcMar>
          </w:tcPr>
          <w:p w14:paraId="76CE56B2" w14:textId="4A439D68" w:rsidR="113EF3A0" w:rsidRDefault="113EF3A0" w:rsidP="113EF3A0">
            <w:pPr>
              <w:spacing w:after="160" w:line="259" w:lineRule="auto"/>
            </w:pPr>
            <w:r w:rsidRPr="113EF3A0">
              <w:rPr>
                <w:b/>
                <w:bCs/>
              </w:rPr>
              <w:t>Tipo de visión</w:t>
            </w:r>
          </w:p>
        </w:tc>
      </w:tr>
      <w:tr w:rsidR="113EF3A0" w14:paraId="02330FEB" w14:textId="77777777" w:rsidTr="113EF3A0">
        <w:trPr>
          <w:trHeight w:val="300"/>
        </w:trPr>
        <w:tc>
          <w:tcPr>
            <w:tcW w:w="2640" w:type="dxa"/>
            <w:tcMar>
              <w:left w:w="105" w:type="dxa"/>
              <w:right w:w="105" w:type="dxa"/>
            </w:tcMar>
          </w:tcPr>
          <w:p w14:paraId="35B91119" w14:textId="4EB0F948" w:rsidR="113EF3A0" w:rsidRDefault="113EF3A0" w:rsidP="113EF3A0">
            <w:pPr>
              <w:spacing w:after="160" w:line="259" w:lineRule="auto"/>
            </w:pPr>
            <w:r w:rsidRPr="113EF3A0">
              <w:t>Mujer, edad 47 años, residente, N/A etnia, ocupación: funcionario publico</w:t>
            </w:r>
          </w:p>
          <w:p w14:paraId="76F6EA9D" w14:textId="3E9983F3" w:rsidR="113EF3A0" w:rsidRDefault="113EF3A0" w:rsidP="113EF3A0">
            <w:pPr>
              <w:spacing w:after="160" w:line="259" w:lineRule="auto"/>
            </w:pPr>
          </w:p>
        </w:tc>
        <w:tc>
          <w:tcPr>
            <w:tcW w:w="2700" w:type="dxa"/>
            <w:tcMar>
              <w:left w:w="105" w:type="dxa"/>
              <w:right w:w="105" w:type="dxa"/>
            </w:tcMar>
          </w:tcPr>
          <w:p w14:paraId="3D8D746C" w14:textId="5522E2F2" w:rsidR="113EF3A0" w:rsidRDefault="113EF3A0" w:rsidP="113EF3A0">
            <w:pPr>
              <w:spacing w:after="160" w:line="259" w:lineRule="auto"/>
            </w:pPr>
            <w:r w:rsidRPr="113EF3A0">
              <w:t>Contadora pública</w:t>
            </w:r>
          </w:p>
        </w:tc>
        <w:tc>
          <w:tcPr>
            <w:tcW w:w="1590" w:type="dxa"/>
            <w:tcMar>
              <w:left w:w="105" w:type="dxa"/>
              <w:right w:w="105" w:type="dxa"/>
            </w:tcMar>
          </w:tcPr>
          <w:p w14:paraId="34B147E6" w14:textId="688EDB78" w:rsidR="113EF3A0" w:rsidRDefault="113EF3A0" w:rsidP="113EF3A0">
            <w:pPr>
              <w:spacing w:after="160" w:line="259" w:lineRule="auto"/>
            </w:pPr>
            <w:r w:rsidRPr="113EF3A0">
              <w:t>Villa Florida (Plan Parejo)</w:t>
            </w:r>
          </w:p>
        </w:tc>
        <w:tc>
          <w:tcPr>
            <w:tcW w:w="1875" w:type="dxa"/>
            <w:tcMar>
              <w:left w:w="105" w:type="dxa"/>
              <w:right w:w="105" w:type="dxa"/>
            </w:tcMar>
          </w:tcPr>
          <w:p w14:paraId="7D5DE1AE" w14:textId="0418585F" w:rsidR="113EF3A0" w:rsidRDefault="113EF3A0" w:rsidP="113EF3A0">
            <w:pPr>
              <w:spacing w:after="160" w:line="259" w:lineRule="auto"/>
            </w:pPr>
            <w:r w:rsidRPr="113EF3A0">
              <w:t>Técnica, estructurada</w:t>
            </w:r>
          </w:p>
        </w:tc>
      </w:tr>
      <w:tr w:rsidR="113EF3A0" w14:paraId="043E7709" w14:textId="77777777" w:rsidTr="113EF3A0">
        <w:trPr>
          <w:trHeight w:val="300"/>
        </w:trPr>
        <w:tc>
          <w:tcPr>
            <w:tcW w:w="2640" w:type="dxa"/>
            <w:tcMar>
              <w:left w:w="105" w:type="dxa"/>
              <w:right w:w="105" w:type="dxa"/>
            </w:tcMar>
          </w:tcPr>
          <w:p w14:paraId="2E365DA6" w14:textId="0A86D29C" w:rsidR="113EF3A0" w:rsidRDefault="113EF3A0" w:rsidP="113EF3A0">
            <w:r w:rsidRPr="113EF3A0">
              <w:t xml:space="preserve">Hombre, edad 55 años, Afro, nativo turbaquero, </w:t>
            </w:r>
          </w:p>
        </w:tc>
        <w:tc>
          <w:tcPr>
            <w:tcW w:w="2700" w:type="dxa"/>
            <w:tcMar>
              <w:left w:w="105" w:type="dxa"/>
              <w:right w:w="105" w:type="dxa"/>
            </w:tcMar>
          </w:tcPr>
          <w:p w14:paraId="2EF55ACD" w14:textId="48F8F19C" w:rsidR="113EF3A0" w:rsidRDefault="113EF3A0" w:rsidP="113EF3A0">
            <w:pPr>
              <w:spacing w:after="160" w:line="259" w:lineRule="auto"/>
            </w:pPr>
            <w:r w:rsidRPr="113EF3A0">
              <w:t>Docente público</w:t>
            </w:r>
          </w:p>
        </w:tc>
        <w:tc>
          <w:tcPr>
            <w:tcW w:w="1590" w:type="dxa"/>
            <w:tcMar>
              <w:left w:w="105" w:type="dxa"/>
              <w:right w:w="105" w:type="dxa"/>
            </w:tcMar>
          </w:tcPr>
          <w:p w14:paraId="59A0B611" w14:textId="455079AE" w:rsidR="113EF3A0" w:rsidRDefault="113EF3A0" w:rsidP="113EF3A0">
            <w:pPr>
              <w:spacing w:after="160" w:line="259" w:lineRule="auto"/>
            </w:pPr>
            <w:r w:rsidRPr="113EF3A0">
              <w:t>Las Delicias</w:t>
            </w:r>
          </w:p>
        </w:tc>
        <w:tc>
          <w:tcPr>
            <w:tcW w:w="1875" w:type="dxa"/>
            <w:tcMar>
              <w:left w:w="105" w:type="dxa"/>
              <w:right w:w="105" w:type="dxa"/>
            </w:tcMar>
          </w:tcPr>
          <w:p w14:paraId="77EF1D02" w14:textId="6C161D1F" w:rsidR="113EF3A0" w:rsidRDefault="113EF3A0" w:rsidP="113EF3A0">
            <w:pPr>
              <w:spacing w:after="160" w:line="259" w:lineRule="auto"/>
            </w:pPr>
            <w:r w:rsidRPr="113EF3A0">
              <w:t>Crítica, administrativa</w:t>
            </w:r>
          </w:p>
        </w:tc>
      </w:tr>
      <w:tr w:rsidR="113EF3A0" w14:paraId="3581F467" w14:textId="77777777" w:rsidTr="113EF3A0">
        <w:trPr>
          <w:trHeight w:val="300"/>
        </w:trPr>
        <w:tc>
          <w:tcPr>
            <w:tcW w:w="2640" w:type="dxa"/>
            <w:tcMar>
              <w:left w:w="105" w:type="dxa"/>
              <w:right w:w="105" w:type="dxa"/>
            </w:tcMar>
          </w:tcPr>
          <w:p w14:paraId="26B67B58" w14:textId="7FE89608" w:rsidR="113EF3A0" w:rsidRDefault="113EF3A0" w:rsidP="113EF3A0">
            <w:pPr>
              <w:spacing w:after="160" w:line="259" w:lineRule="auto"/>
            </w:pPr>
            <w:r w:rsidRPr="113EF3A0">
              <w:t>Mujer, edad 43 años, nativo-residente, ocupación: funcionario publico</w:t>
            </w:r>
          </w:p>
          <w:p w14:paraId="36DB68CB" w14:textId="25DE39EF" w:rsidR="113EF3A0" w:rsidRDefault="113EF3A0" w:rsidP="113EF3A0">
            <w:pPr>
              <w:spacing w:after="160" w:line="259" w:lineRule="auto"/>
            </w:pPr>
          </w:p>
        </w:tc>
        <w:tc>
          <w:tcPr>
            <w:tcW w:w="2700" w:type="dxa"/>
            <w:tcMar>
              <w:left w:w="105" w:type="dxa"/>
              <w:right w:w="105" w:type="dxa"/>
            </w:tcMar>
          </w:tcPr>
          <w:p w14:paraId="14ABCB3F" w14:textId="6704324C" w:rsidR="113EF3A0" w:rsidRDefault="113EF3A0" w:rsidP="113EF3A0">
            <w:pPr>
              <w:spacing w:after="160" w:line="259" w:lineRule="auto"/>
            </w:pPr>
            <w:r w:rsidRPr="113EF3A0">
              <w:t>Administradora de empresas</w:t>
            </w:r>
          </w:p>
        </w:tc>
        <w:tc>
          <w:tcPr>
            <w:tcW w:w="1590" w:type="dxa"/>
            <w:tcMar>
              <w:left w:w="105" w:type="dxa"/>
              <w:right w:w="105" w:type="dxa"/>
            </w:tcMar>
          </w:tcPr>
          <w:p w14:paraId="0D9667F7" w14:textId="2C0D613F" w:rsidR="113EF3A0" w:rsidRDefault="113EF3A0" w:rsidP="113EF3A0">
            <w:pPr>
              <w:spacing w:after="160" w:line="259" w:lineRule="auto"/>
            </w:pPr>
            <w:r w:rsidRPr="113EF3A0">
              <w:t>Altos de Plan Parejo</w:t>
            </w:r>
          </w:p>
        </w:tc>
        <w:tc>
          <w:tcPr>
            <w:tcW w:w="1875" w:type="dxa"/>
            <w:tcMar>
              <w:left w:w="105" w:type="dxa"/>
              <w:right w:w="105" w:type="dxa"/>
            </w:tcMar>
          </w:tcPr>
          <w:p w14:paraId="034D3517" w14:textId="78AE0535" w:rsidR="113EF3A0" w:rsidRDefault="113EF3A0" w:rsidP="113EF3A0">
            <w:pPr>
              <w:spacing w:after="160" w:line="259" w:lineRule="auto"/>
            </w:pPr>
            <w:r w:rsidRPr="113EF3A0">
              <w:t>Institucional, balanceada</w:t>
            </w:r>
          </w:p>
        </w:tc>
      </w:tr>
      <w:tr w:rsidR="113EF3A0" w14:paraId="35AB1608" w14:textId="77777777" w:rsidTr="113EF3A0">
        <w:trPr>
          <w:trHeight w:val="300"/>
        </w:trPr>
        <w:tc>
          <w:tcPr>
            <w:tcW w:w="2640" w:type="dxa"/>
            <w:tcMar>
              <w:left w:w="105" w:type="dxa"/>
              <w:right w:w="105" w:type="dxa"/>
            </w:tcMar>
          </w:tcPr>
          <w:p w14:paraId="469FC99F" w14:textId="4D17A737" w:rsidR="113EF3A0" w:rsidRDefault="113EF3A0" w:rsidP="113EF3A0">
            <w:pPr>
              <w:spacing w:after="160" w:line="259" w:lineRule="auto"/>
            </w:pPr>
            <w:r w:rsidRPr="113EF3A0">
              <w:t>Mujer, edad 44 años, residente, ocupación: funcionario publico</w:t>
            </w:r>
          </w:p>
          <w:p w14:paraId="2814A17A" w14:textId="5A516380" w:rsidR="113EF3A0" w:rsidRDefault="113EF3A0" w:rsidP="113EF3A0">
            <w:pPr>
              <w:spacing w:after="160" w:line="259" w:lineRule="auto"/>
            </w:pPr>
          </w:p>
        </w:tc>
        <w:tc>
          <w:tcPr>
            <w:tcW w:w="2700" w:type="dxa"/>
            <w:tcMar>
              <w:left w:w="105" w:type="dxa"/>
              <w:right w:w="105" w:type="dxa"/>
            </w:tcMar>
          </w:tcPr>
          <w:p w14:paraId="1B363428" w14:textId="29C40903" w:rsidR="113EF3A0" w:rsidRDefault="113EF3A0" w:rsidP="113EF3A0">
            <w:pPr>
              <w:spacing w:after="160" w:line="259" w:lineRule="auto"/>
            </w:pPr>
            <w:r w:rsidRPr="113EF3A0">
              <w:t>Administradora de empresas</w:t>
            </w:r>
          </w:p>
        </w:tc>
        <w:tc>
          <w:tcPr>
            <w:tcW w:w="1590" w:type="dxa"/>
            <w:tcMar>
              <w:left w:w="105" w:type="dxa"/>
              <w:right w:w="105" w:type="dxa"/>
            </w:tcMar>
          </w:tcPr>
          <w:p w14:paraId="3C67E096" w14:textId="20DCC649" w:rsidR="113EF3A0" w:rsidRDefault="113EF3A0" w:rsidP="113EF3A0">
            <w:pPr>
              <w:spacing w:after="160" w:line="259" w:lineRule="auto"/>
            </w:pPr>
            <w:r w:rsidRPr="113EF3A0">
              <w:t>Plan Parejo el Valle</w:t>
            </w:r>
          </w:p>
        </w:tc>
        <w:tc>
          <w:tcPr>
            <w:tcW w:w="1875" w:type="dxa"/>
            <w:tcMar>
              <w:left w:w="105" w:type="dxa"/>
              <w:right w:w="105" w:type="dxa"/>
            </w:tcMar>
          </w:tcPr>
          <w:p w14:paraId="7937CC98" w14:textId="29AB0394" w:rsidR="113EF3A0" w:rsidRDefault="113EF3A0" w:rsidP="113EF3A0">
            <w:pPr>
              <w:spacing w:after="160" w:line="259" w:lineRule="auto"/>
            </w:pPr>
            <w:r w:rsidRPr="113EF3A0">
              <w:t>Cívica, limitada</w:t>
            </w:r>
          </w:p>
        </w:tc>
      </w:tr>
      <w:tr w:rsidR="113EF3A0" w14:paraId="25B83F4B" w14:textId="77777777" w:rsidTr="113EF3A0">
        <w:trPr>
          <w:trHeight w:val="300"/>
        </w:trPr>
        <w:tc>
          <w:tcPr>
            <w:tcW w:w="2640" w:type="dxa"/>
            <w:tcMar>
              <w:left w:w="105" w:type="dxa"/>
              <w:right w:w="105" w:type="dxa"/>
            </w:tcMar>
          </w:tcPr>
          <w:p w14:paraId="7BDEA141" w14:textId="1D7A8466" w:rsidR="113EF3A0" w:rsidRDefault="113EF3A0" w:rsidP="113EF3A0">
            <w:pPr>
              <w:rPr>
                <w:sz w:val="22"/>
                <w:szCs w:val="22"/>
              </w:rPr>
            </w:pPr>
            <w:r w:rsidRPr="113EF3A0">
              <w:t>Hombre, edad 35 años</w:t>
            </w:r>
            <w:r w:rsidRPr="113EF3A0">
              <w:rPr>
                <w:sz w:val="22"/>
                <w:szCs w:val="22"/>
              </w:rPr>
              <w:t>, blanco, líder social</w:t>
            </w:r>
          </w:p>
        </w:tc>
        <w:tc>
          <w:tcPr>
            <w:tcW w:w="2700" w:type="dxa"/>
            <w:tcMar>
              <w:left w:w="105" w:type="dxa"/>
              <w:right w:w="105" w:type="dxa"/>
            </w:tcMar>
          </w:tcPr>
          <w:p w14:paraId="753F8270" w14:textId="3761FDFF" w:rsidR="113EF3A0" w:rsidRDefault="113EF3A0" w:rsidP="113EF3A0">
            <w:pPr>
              <w:spacing w:after="160" w:line="259" w:lineRule="auto"/>
            </w:pPr>
            <w:r w:rsidRPr="113EF3A0">
              <w:t>Activista político, comerciante</w:t>
            </w:r>
          </w:p>
        </w:tc>
        <w:tc>
          <w:tcPr>
            <w:tcW w:w="1590" w:type="dxa"/>
            <w:tcMar>
              <w:left w:w="105" w:type="dxa"/>
              <w:right w:w="105" w:type="dxa"/>
            </w:tcMar>
          </w:tcPr>
          <w:p w14:paraId="08530039" w14:textId="61777134" w:rsidR="113EF3A0" w:rsidRDefault="113EF3A0" w:rsidP="113EF3A0">
            <w:pPr>
              <w:spacing w:after="160" w:line="259" w:lineRule="auto"/>
            </w:pPr>
            <w:r w:rsidRPr="113EF3A0">
              <w:t>La Cruz</w:t>
            </w:r>
          </w:p>
        </w:tc>
        <w:tc>
          <w:tcPr>
            <w:tcW w:w="1875" w:type="dxa"/>
            <w:tcMar>
              <w:left w:w="105" w:type="dxa"/>
              <w:right w:w="105" w:type="dxa"/>
            </w:tcMar>
          </w:tcPr>
          <w:p w14:paraId="1267A815" w14:textId="6698A160" w:rsidR="113EF3A0" w:rsidRDefault="113EF3A0" w:rsidP="113EF3A0">
            <w:pPr>
              <w:spacing w:after="160" w:line="259" w:lineRule="auto"/>
            </w:pPr>
            <w:r w:rsidRPr="113EF3A0">
              <w:t>Política, participativa</w:t>
            </w:r>
          </w:p>
        </w:tc>
      </w:tr>
      <w:tr w:rsidR="113EF3A0" w14:paraId="7F5006DE" w14:textId="77777777" w:rsidTr="113EF3A0">
        <w:trPr>
          <w:trHeight w:val="300"/>
        </w:trPr>
        <w:tc>
          <w:tcPr>
            <w:tcW w:w="2640" w:type="dxa"/>
            <w:tcMar>
              <w:left w:w="105" w:type="dxa"/>
              <w:right w:w="105" w:type="dxa"/>
            </w:tcMar>
          </w:tcPr>
          <w:p w14:paraId="4D3B1366" w14:textId="45AE91E3" w:rsidR="113EF3A0" w:rsidRDefault="113EF3A0" w:rsidP="113EF3A0">
            <w:pPr>
              <w:rPr>
                <w:sz w:val="22"/>
                <w:szCs w:val="22"/>
              </w:rPr>
            </w:pPr>
            <w:r w:rsidRPr="113EF3A0">
              <w:rPr>
                <w:sz w:val="22"/>
                <w:szCs w:val="22"/>
              </w:rPr>
              <w:t>Hombre, edad 48 años, residente, contratista (sector público)</w:t>
            </w:r>
          </w:p>
        </w:tc>
        <w:tc>
          <w:tcPr>
            <w:tcW w:w="2700" w:type="dxa"/>
            <w:tcMar>
              <w:left w:w="105" w:type="dxa"/>
              <w:right w:w="105" w:type="dxa"/>
            </w:tcMar>
          </w:tcPr>
          <w:p w14:paraId="50352CCC" w14:textId="077585D8" w:rsidR="113EF3A0" w:rsidRDefault="113EF3A0" w:rsidP="113EF3A0">
            <w:pPr>
              <w:spacing w:after="160" w:line="259" w:lineRule="auto"/>
            </w:pPr>
            <w:r w:rsidRPr="113EF3A0">
              <w:t>Administrador de empresas</w:t>
            </w:r>
          </w:p>
        </w:tc>
        <w:tc>
          <w:tcPr>
            <w:tcW w:w="1590" w:type="dxa"/>
            <w:tcMar>
              <w:left w:w="105" w:type="dxa"/>
              <w:right w:w="105" w:type="dxa"/>
            </w:tcMar>
          </w:tcPr>
          <w:p w14:paraId="3FBA8DC9" w14:textId="5840CBCC" w:rsidR="113EF3A0" w:rsidRDefault="113EF3A0" w:rsidP="113EF3A0">
            <w:pPr>
              <w:spacing w:after="160" w:line="259" w:lineRule="auto"/>
            </w:pPr>
            <w:r w:rsidRPr="113EF3A0">
              <w:t>Bosques de la Castellana</w:t>
            </w:r>
          </w:p>
        </w:tc>
        <w:tc>
          <w:tcPr>
            <w:tcW w:w="1875" w:type="dxa"/>
            <w:tcMar>
              <w:left w:w="105" w:type="dxa"/>
              <w:right w:w="105" w:type="dxa"/>
            </w:tcMar>
          </w:tcPr>
          <w:p w14:paraId="39439F0D" w14:textId="3F5ACF63" w:rsidR="113EF3A0" w:rsidRDefault="113EF3A0" w:rsidP="113EF3A0">
            <w:pPr>
              <w:spacing w:after="160" w:line="259" w:lineRule="auto"/>
            </w:pPr>
            <w:r w:rsidRPr="113EF3A0">
              <w:t>Funcional, evaluativa</w:t>
            </w:r>
          </w:p>
        </w:tc>
      </w:tr>
    </w:tbl>
    <w:p w14:paraId="0E15120A" w14:textId="21A2715F" w:rsidR="113EF3A0" w:rsidRDefault="113EF3A0" w:rsidP="113EF3A0">
      <w:pPr>
        <w:rPr>
          <w:color w:val="000000" w:themeColor="text1"/>
        </w:rPr>
      </w:pPr>
    </w:p>
    <w:p w14:paraId="25653964" w14:textId="29C06956" w:rsidR="113EF3A0" w:rsidRDefault="113EF3A0" w:rsidP="113EF3A0">
      <w:pPr>
        <w:rPr>
          <w:color w:val="000000" w:themeColor="text1"/>
        </w:rPr>
      </w:pPr>
    </w:p>
    <w:p w14:paraId="584D4838" w14:textId="749AA29F" w:rsidR="113EF3A0" w:rsidRDefault="113EF3A0" w:rsidP="113EF3A0">
      <w:pPr>
        <w:rPr>
          <w:rFonts w:ascii="Times New Roman" w:eastAsia="Times New Roman" w:hAnsi="Times New Roman" w:cs="Times New Roman"/>
          <w:color w:val="000000" w:themeColor="text1"/>
        </w:rPr>
      </w:pPr>
    </w:p>
    <w:p w14:paraId="6E19A906" w14:textId="44D424F4" w:rsidR="7176610A" w:rsidRDefault="7176610A" w:rsidP="113EF3A0">
      <w:pPr>
        <w:spacing w:line="360" w:lineRule="auto"/>
        <w:rPr>
          <w:color w:val="000000" w:themeColor="text1"/>
        </w:rPr>
      </w:pPr>
      <w:r w:rsidRPr="113EF3A0">
        <w:rPr>
          <w:b/>
          <w:bCs/>
          <w:color w:val="000000" w:themeColor="text1"/>
        </w:rPr>
        <w:t>2. Discernimiento de la ciudadanía acerca de la categorización y la gestión pública en el municipio de Turbaco</w:t>
      </w:r>
      <w:r w:rsidRPr="113EF3A0">
        <w:rPr>
          <w:color w:val="000000" w:themeColor="text1"/>
        </w:rPr>
        <w:t>.</w:t>
      </w:r>
    </w:p>
    <w:p w14:paraId="532A136F" w14:textId="6DB2E3B5" w:rsidR="7176610A" w:rsidRDefault="7176610A" w:rsidP="113EF3A0">
      <w:pPr>
        <w:spacing w:line="360" w:lineRule="auto"/>
        <w:rPr>
          <w:color w:val="000000" w:themeColor="text1"/>
        </w:rPr>
      </w:pPr>
      <w:r w:rsidRPr="113EF3A0">
        <w:rPr>
          <w:color w:val="000000" w:themeColor="text1"/>
        </w:rPr>
        <w:t>1. ¿Percibe usted mejoras en los servicios públicos domiciliarios (agua, energía, alcantarillado) durante los años 2016-2023?</w:t>
      </w:r>
    </w:p>
    <w:p w14:paraId="79669FA6" w14:textId="2652E730" w:rsidR="7176610A" w:rsidRDefault="7176610A" w:rsidP="113EF3A0">
      <w:pPr>
        <w:spacing w:line="360" w:lineRule="auto"/>
        <w:rPr>
          <w:color w:val="000000" w:themeColor="text1"/>
        </w:rPr>
      </w:pPr>
      <w:r w:rsidRPr="113EF3A0">
        <w:rPr>
          <w:color w:val="000000" w:themeColor="text1"/>
        </w:rPr>
        <w:t>2. ¿Considera usted que ha mejorado la infraestructura vial y urbana de su comunidad en el periodo 2016-2023?</w:t>
      </w:r>
    </w:p>
    <w:p w14:paraId="0915112B" w14:textId="32FD8170" w:rsidR="7176610A" w:rsidRDefault="7176610A" w:rsidP="113EF3A0">
      <w:pPr>
        <w:spacing w:line="360" w:lineRule="auto"/>
        <w:rPr>
          <w:color w:val="000000" w:themeColor="text1"/>
        </w:rPr>
      </w:pPr>
      <w:r w:rsidRPr="113EF3A0">
        <w:rPr>
          <w:color w:val="000000" w:themeColor="text1"/>
        </w:rPr>
        <w:t>3. ¿Cómo valora la gestión pública para la atención en salud, educación, vivienda, infraestructura, seguridad, durante los años 2016-2023?</w:t>
      </w:r>
    </w:p>
    <w:p w14:paraId="39DF43CC" w14:textId="0B5D7832" w:rsidR="7176610A" w:rsidRDefault="7176610A" w:rsidP="113EF3A0">
      <w:pPr>
        <w:spacing w:line="360" w:lineRule="auto"/>
        <w:rPr>
          <w:color w:val="000000" w:themeColor="text1"/>
        </w:rPr>
      </w:pPr>
      <w:r w:rsidRPr="113EF3A0">
        <w:rPr>
          <w:color w:val="000000" w:themeColor="text1"/>
        </w:rPr>
        <w:t>4. ¿Considera que ha habido avances en la participación ciudadana en la gestión pública local? ¿Cuáles han sido los aspectos más importantes?</w:t>
      </w:r>
    </w:p>
    <w:p w14:paraId="44AF69F9" w14:textId="41ADF444" w:rsidR="7176610A" w:rsidRDefault="7176610A" w:rsidP="113EF3A0">
      <w:pPr>
        <w:spacing w:line="360" w:lineRule="auto"/>
        <w:rPr>
          <w:color w:val="000000" w:themeColor="text1"/>
        </w:rPr>
      </w:pPr>
      <w:r w:rsidRPr="113EF3A0">
        <w:rPr>
          <w:color w:val="000000" w:themeColor="text1"/>
        </w:rPr>
        <w:t>5. ¿Para usted la descentralización politica, fiscal y administrativa ha favorecido el desarrollo del empleo o programas de apoyo social en el municipio?</w:t>
      </w:r>
    </w:p>
    <w:p w14:paraId="375C0910" w14:textId="0F093E8D" w:rsidR="113EF3A0" w:rsidRDefault="113EF3A0" w:rsidP="113EF3A0">
      <w:pPr>
        <w:rPr>
          <w:rFonts w:ascii="Times New Roman" w:eastAsia="Times New Roman" w:hAnsi="Times New Roman" w:cs="Times New Roman"/>
          <w:color w:val="000000" w:themeColor="text1"/>
        </w:rPr>
      </w:pPr>
    </w:p>
    <w:p w14:paraId="301F10B1" w14:textId="48E9CA61" w:rsidR="7176610A" w:rsidRDefault="7176610A" w:rsidP="113EF3A0">
      <w:pPr>
        <w:spacing w:line="360" w:lineRule="auto"/>
        <w:rPr>
          <w:color w:val="000000" w:themeColor="text1"/>
        </w:rPr>
      </w:pPr>
      <w:r w:rsidRPr="113EF3A0">
        <w:rPr>
          <w:b/>
          <w:bCs/>
          <w:color w:val="000000" w:themeColor="text1"/>
        </w:rPr>
        <w:t>Para el análisis de los datos cuantitativos del trabajo</w:t>
      </w:r>
      <w:r w:rsidRPr="113EF3A0">
        <w:rPr>
          <w:color w:val="000000" w:themeColor="text1"/>
        </w:rPr>
        <w:t xml:space="preserve">, se ha utilizado la información en diferentes niveles. A nivel local que fue reportada por el municipio al CHIP, de la Contaduría General de la Nación, durante los periodos 2016 a 2023; la información presupuestal y financiera de los distintos años (reportes contables/ejecuciones presupuestales/ rendiciones de cuentas/Planes de Desarrollo etc) que están en la página web de la Alcaldía municipal. A continuación, se describe el proceso del enfoque mixto utilizado  </w:t>
      </w:r>
    </w:p>
    <w:p w14:paraId="2287B257" w14:textId="4EC53C19" w:rsidR="113EF3A0" w:rsidRDefault="113EF3A0" w:rsidP="113EF3A0">
      <w:pPr>
        <w:spacing w:line="360" w:lineRule="auto"/>
        <w:rPr>
          <w:color w:val="000000" w:themeColor="text1"/>
        </w:rPr>
      </w:pPr>
    </w:p>
    <w:p w14:paraId="4C64AA99" w14:textId="3BA6B66F" w:rsidR="113EF3A0" w:rsidRDefault="113EF3A0" w:rsidP="113EF3A0">
      <w:pPr>
        <w:rPr>
          <w:color w:val="000000" w:themeColor="text1"/>
        </w:rPr>
      </w:pPr>
    </w:p>
    <w:p w14:paraId="0F065529" w14:textId="38781BE6" w:rsidR="7176610A" w:rsidRDefault="7176610A" w:rsidP="113EF3A0">
      <w:pPr>
        <w:rPr>
          <w:color w:val="000000" w:themeColor="text1"/>
        </w:rPr>
      </w:pPr>
      <w:r>
        <w:rPr>
          <w:noProof/>
        </w:rPr>
        <w:drawing>
          <wp:inline distT="0" distB="0" distL="0" distR="0" wp14:anchorId="70FB0FDB" wp14:editId="0D8DAAFD">
            <wp:extent cx="4533900" cy="2876550"/>
            <wp:effectExtent l="0" t="0" r="0" b="0"/>
            <wp:docPr id="689919600" name="Imagen 689919600" descr="Diagrama 4, Diagrama de Smart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4533900" cy="2876550"/>
                    </a:xfrm>
                    <a:prstGeom prst="rect">
                      <a:avLst/>
                    </a:prstGeom>
                  </pic:spPr>
                </pic:pic>
              </a:graphicData>
            </a:graphic>
          </wp:inline>
        </w:drawing>
      </w:r>
    </w:p>
    <w:p w14:paraId="1A8E1033" w14:textId="5D6E050E" w:rsidR="113EF3A0" w:rsidRDefault="113EF3A0" w:rsidP="113EF3A0">
      <w:pPr>
        <w:rPr>
          <w:color w:val="000000" w:themeColor="text1"/>
        </w:rPr>
      </w:pPr>
    </w:p>
    <w:p w14:paraId="5647D8B0" w14:textId="48D1C3E9" w:rsidR="7176610A" w:rsidRDefault="7176610A" w:rsidP="113EF3A0">
      <w:pPr>
        <w:pStyle w:val="Ttulo1"/>
        <w:spacing w:before="480" w:line="360" w:lineRule="auto"/>
        <w:rPr>
          <w:bCs/>
        </w:rPr>
      </w:pPr>
      <w:r w:rsidRPr="113EF3A0">
        <w:rPr>
          <w:bCs/>
        </w:rPr>
        <w:t>Resultados de la entrevista por pregunta</w:t>
      </w:r>
    </w:p>
    <w:p w14:paraId="1CC901C7" w14:textId="0E41B5F1" w:rsidR="7176610A" w:rsidRDefault="7176610A" w:rsidP="113EF3A0">
      <w:pPr>
        <w:pStyle w:val="Ttulo2"/>
        <w:spacing w:before="200" w:line="360" w:lineRule="auto"/>
        <w:rPr>
          <w:bCs/>
        </w:rPr>
      </w:pPr>
      <w:r w:rsidRPr="113EF3A0">
        <w:rPr>
          <w:bCs/>
        </w:rPr>
        <w:t>1. Servicios públicos</w:t>
      </w:r>
    </w:p>
    <w:p w14:paraId="72DC4095" w14:textId="4AF1F9B7" w:rsidR="7176610A" w:rsidRDefault="7176610A" w:rsidP="113EF3A0">
      <w:pPr>
        <w:spacing w:line="360" w:lineRule="auto"/>
        <w:rPr>
          <w:color w:val="000000" w:themeColor="text1"/>
        </w:rPr>
      </w:pPr>
      <w:r w:rsidRPr="113EF3A0">
        <w:rPr>
          <w:color w:val="000000" w:themeColor="text1"/>
        </w:rPr>
        <w:t>Las respuestas mostraron una percepción dividida. Tres participantes identificaron mejoras parciales, especialmente en la continuidad del servicio de agua, aunque señalaron que aún existen zonas donde el suministro es irregular. Los participantes sin conocimiento técnico tienden a valorar el cambio como insuficiente, mientras que aquellos con experiencia administrativa reconocen avances graduales, aunque limitados por problemas estructurales</w:t>
      </w:r>
    </w:p>
    <w:p w14:paraId="2BA7A88F" w14:textId="1274C884" w:rsidR="7176610A" w:rsidRDefault="7176610A" w:rsidP="113EF3A0">
      <w:pPr>
        <w:pStyle w:val="Ttulo2"/>
        <w:spacing w:before="200" w:line="360" w:lineRule="auto"/>
        <w:rPr>
          <w:bCs/>
        </w:rPr>
      </w:pPr>
      <w:r w:rsidRPr="113EF3A0">
        <w:rPr>
          <w:bCs/>
        </w:rPr>
        <w:t>2. Infraestructura vial y Urbana</w:t>
      </w:r>
    </w:p>
    <w:p w14:paraId="4BEF5AAE" w14:textId="70DAD7CF" w:rsidR="7176610A" w:rsidRDefault="7176610A" w:rsidP="113EF3A0">
      <w:pPr>
        <w:spacing w:line="360" w:lineRule="auto"/>
        <w:rPr>
          <w:color w:val="000000" w:themeColor="text1"/>
        </w:rPr>
      </w:pPr>
      <w:r w:rsidRPr="113EF3A0">
        <w:rPr>
          <w:color w:val="000000" w:themeColor="text1"/>
        </w:rPr>
        <w:t xml:space="preserve">Hubo consenso en que algunas obras de pavimentación se ejecutaron durante los últimos gobiernos, especialmente en barrios priorizados. No obstante, se percibe que los proyectos no han sido suficientes para resolver los problemas de conectividad. La valoración general es que hubo mejoras visibles, pero aún limitadas. </w:t>
      </w:r>
    </w:p>
    <w:p w14:paraId="47892FAC" w14:textId="6F58BBD1" w:rsidR="7176610A" w:rsidRDefault="7176610A" w:rsidP="113EF3A0">
      <w:pPr>
        <w:pStyle w:val="Ttulo2"/>
        <w:spacing w:before="200" w:line="360" w:lineRule="auto"/>
        <w:rPr>
          <w:bCs/>
        </w:rPr>
      </w:pPr>
      <w:r w:rsidRPr="113EF3A0">
        <w:rPr>
          <w:bCs/>
        </w:rPr>
        <w:t>3. Gestión pública en salud, educación, vivienda, infraestructura y seguridad.</w:t>
      </w:r>
    </w:p>
    <w:p w14:paraId="4A4E367F" w14:textId="657712FE" w:rsidR="7176610A" w:rsidRDefault="7176610A" w:rsidP="113EF3A0">
      <w:pPr>
        <w:spacing w:line="360" w:lineRule="auto"/>
        <w:rPr>
          <w:color w:val="000000" w:themeColor="text1"/>
        </w:rPr>
      </w:pPr>
      <w:r w:rsidRPr="113EF3A0">
        <w:rPr>
          <w:color w:val="000000" w:themeColor="text1"/>
        </w:rPr>
        <w:t xml:space="preserve">Los entrevistados con experiencia técnica valoraron positivamente los esfuerzos administrativos, aunque mencionaron deficiencias en cobertura y sostenibilidad de los programas. Los demás participantes indicaron insatisfacción con la atención en salud y escaso avance en vivienda. Se identificó una mejora en cobertura educativa y en campañas de salud. </w:t>
      </w:r>
    </w:p>
    <w:p w14:paraId="201F1E3A" w14:textId="372F0C3E" w:rsidR="7176610A" w:rsidRDefault="7176610A" w:rsidP="113EF3A0">
      <w:pPr>
        <w:pStyle w:val="Ttulo2"/>
        <w:spacing w:before="200" w:line="360" w:lineRule="auto"/>
        <w:rPr>
          <w:bCs/>
        </w:rPr>
      </w:pPr>
      <w:r w:rsidRPr="113EF3A0">
        <w:rPr>
          <w:bCs/>
        </w:rPr>
        <w:t>4. Participación ciudadana</w:t>
      </w:r>
    </w:p>
    <w:p w14:paraId="47D3E5DA" w14:textId="0B18AB3C" w:rsidR="7176610A" w:rsidRDefault="7176610A" w:rsidP="113EF3A0">
      <w:pPr>
        <w:spacing w:line="360" w:lineRule="auto"/>
        <w:rPr>
          <w:color w:val="000000" w:themeColor="text1"/>
        </w:rPr>
      </w:pPr>
      <w:r w:rsidRPr="113EF3A0">
        <w:rPr>
          <w:color w:val="000000" w:themeColor="text1"/>
        </w:rPr>
        <w:t xml:space="preserve">Predominó la percepción de que no existen canales efectivos de participación. Algunos entrevistados mencionaron reuniones comunitarias, pero con baja capacidad de decisión. Solo un participante con experiencia administrativa mencionó mecanismos institucionales de consulta ciudadana. La participación es percibida como limitada y poco incidente. </w:t>
      </w:r>
    </w:p>
    <w:p w14:paraId="44C6997A" w14:textId="1D7A779C" w:rsidR="7176610A" w:rsidRDefault="7176610A" w:rsidP="113EF3A0">
      <w:pPr>
        <w:pStyle w:val="Ttulo2"/>
        <w:spacing w:before="200" w:line="360" w:lineRule="auto"/>
        <w:rPr>
          <w:bCs/>
        </w:rPr>
      </w:pPr>
      <w:r w:rsidRPr="113EF3A0">
        <w:rPr>
          <w:bCs/>
        </w:rPr>
        <w:t>5. Empleo y programas sociales</w:t>
      </w:r>
    </w:p>
    <w:p w14:paraId="63F33136" w14:textId="632A08E0" w:rsidR="7176610A" w:rsidRDefault="7176610A" w:rsidP="113EF3A0">
      <w:pPr>
        <w:spacing w:line="360" w:lineRule="auto"/>
        <w:rPr>
          <w:color w:val="000000" w:themeColor="text1"/>
        </w:rPr>
      </w:pPr>
      <w:r w:rsidRPr="113EF3A0">
        <w:rPr>
          <w:color w:val="000000" w:themeColor="text1"/>
        </w:rPr>
        <w:t>Las respuestas fueron predominantemente negativas. No se identifican políticas claras ni sostenidas en el tiempo para fomentar el empleo local. Algunos mencionaron apoyos puntuales a emprendimientos, pero sin articulación institucional ni continuidad. Los entrevistados consideran que la descentralización no ha impactado positivamente esta dimensión.</w:t>
      </w:r>
    </w:p>
    <w:p w14:paraId="745738BD" w14:textId="2D177234" w:rsidR="113EF3A0" w:rsidRDefault="113EF3A0" w:rsidP="113EF3A0">
      <w:pPr>
        <w:rPr>
          <w:color w:val="000000" w:themeColor="text1"/>
        </w:rPr>
      </w:pPr>
    </w:p>
    <w:p w14:paraId="4EC23CE5" w14:textId="28E49AF2" w:rsidR="113EF3A0" w:rsidRDefault="113EF3A0" w:rsidP="113EF3A0">
      <w:pPr>
        <w:rPr>
          <w:color w:val="000000" w:themeColor="text1"/>
        </w:rPr>
      </w:pPr>
    </w:p>
    <w:p w14:paraId="050DD4AA" w14:textId="25E270CF" w:rsidR="113EF3A0" w:rsidRDefault="113EF3A0" w:rsidP="113EF3A0">
      <w:pPr>
        <w:rPr>
          <w:color w:val="000000" w:themeColor="text1"/>
        </w:rPr>
      </w:pPr>
    </w:p>
    <w:p w14:paraId="6923A4D8" w14:textId="7754EA04" w:rsidR="113EF3A0" w:rsidRDefault="113EF3A0" w:rsidP="113EF3A0">
      <w:pPr>
        <w:rPr>
          <w:color w:val="000000" w:themeColor="text1"/>
        </w:rPr>
      </w:pPr>
    </w:p>
    <w:p w14:paraId="3016C458" w14:textId="3BA554C7" w:rsidR="113EF3A0" w:rsidRDefault="113EF3A0" w:rsidP="113EF3A0">
      <w:pPr>
        <w:pStyle w:val="Normal0"/>
        <w:pBdr>
          <w:top w:val="nil"/>
          <w:left w:val="nil"/>
          <w:bottom w:val="nil"/>
          <w:right w:val="nil"/>
          <w:between w:val="nil"/>
        </w:pBdr>
        <w:spacing w:line="360" w:lineRule="auto"/>
        <w:rPr>
          <w:color w:val="000000" w:themeColor="text1"/>
        </w:rPr>
      </w:pPr>
    </w:p>
    <w:p w14:paraId="0000058A" w14:textId="77777777" w:rsidR="00663CDF" w:rsidRDefault="00663CDF">
      <w:pPr>
        <w:pStyle w:val="Normal0"/>
        <w:spacing w:line="360" w:lineRule="auto"/>
      </w:pPr>
    </w:p>
    <w:sectPr w:rsidR="00663CDF">
      <w:headerReference w:type="default" r:id="rId22"/>
      <w:pgSz w:w="12240" w:h="15840"/>
      <w:pgMar w:top="1701" w:right="1134" w:bottom="1701" w:left="2268"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D76FCE" w14:textId="77777777" w:rsidR="00DA2EDD" w:rsidRDefault="00DA2EDD">
      <w:pPr>
        <w:spacing w:line="240" w:lineRule="auto"/>
      </w:pPr>
      <w:r>
        <w:separator/>
      </w:r>
    </w:p>
  </w:endnote>
  <w:endnote w:type="continuationSeparator" w:id="0">
    <w:p w14:paraId="40FCBC5F" w14:textId="77777777" w:rsidR="00DA2EDD" w:rsidRDefault="00DA2E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charset w:val="00"/>
    <w:family w:val="auto"/>
    <w:pitch w:val="default"/>
    <w:embedRegular r:id="rId1" w:fontKey="{091A6651-AF42-4169-9683-BF22704F576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embedRegular r:id="rId2" w:fontKey="{4516FB0E-70DC-4561-AA91-260CC6B66F4E}"/>
    <w:embedBold r:id="rId3" w:fontKey="{FD35BD26-B8A5-4808-8005-17052C909CDC}"/>
  </w:font>
  <w:font w:name="Segoe UI">
    <w:panose1 w:val="020B0502040204020203"/>
    <w:charset w:val="00"/>
    <w:family w:val="swiss"/>
    <w:pitch w:val="variable"/>
    <w:sig w:usb0="E4002EFF" w:usb1="C000E47F" w:usb2="00000009" w:usb3="00000000" w:csb0="000001FF" w:csb1="00000000"/>
    <w:embedRegular r:id="rId4" w:fontKey="{94F7B5B2-FFAC-4114-9010-98FA4685EB8B}"/>
  </w:font>
  <w:font w:name="Calibri Light">
    <w:panose1 w:val="020F0302020204030204"/>
    <w:charset w:val="00"/>
    <w:family w:val="swiss"/>
    <w:pitch w:val="variable"/>
    <w:sig w:usb0="E4002EFF" w:usb1="C200247B" w:usb2="00000009" w:usb3="00000000" w:csb0="000001FF" w:csb1="00000000"/>
    <w:embedRegular r:id="rId5" w:fontKey="{2FD9B000-BC10-40FA-A45C-F60335923676}"/>
    <w:embedItalic r:id="rId6" w:fontKey="{F5645F9B-39B5-4EE9-A2A9-D64CA0FEE13D}"/>
  </w:font>
  <w:font w:name="Georgia">
    <w:panose1 w:val="02040502050405020303"/>
    <w:charset w:val="00"/>
    <w:family w:val="roman"/>
    <w:pitch w:val="variable"/>
    <w:sig w:usb0="00000287" w:usb1="00000000" w:usb2="00000000" w:usb3="00000000" w:csb0="0000009F" w:csb1="00000000"/>
    <w:embedRegular r:id="rId7" w:fontKey="{D2B481CE-5EAF-4FEF-804E-B705215C3387}"/>
    <w:embedItalic r:id="rId8" w:fontKey="{38C5A52B-52BB-4AE7-B31C-82C6435D2B19}"/>
  </w:font>
  <w:font w:name="Arial Unicode MS">
    <w:panose1 w:val="020B0604020202020204"/>
    <w:charset w:val="80"/>
    <w:family w:val="swiss"/>
    <w:pitch w:val="variable"/>
    <w:sig w:usb0="F7FFAFFF" w:usb1="E9DFFFFF" w:usb2="0000003F" w:usb3="00000000" w:csb0="003F01FF" w:csb1="00000000"/>
    <w:embedRegular r:id="rId9" w:subsetted="1" w:fontKey="{87B1F76A-F778-4854-828C-A6FC882575AB}"/>
  </w:font>
  <w:font w:name="Aptos Narrow">
    <w:charset w:val="00"/>
    <w:family w:val="swiss"/>
    <w:pitch w:val="variable"/>
    <w:sig w:usb0="20000287" w:usb1="00000003" w:usb2="00000000" w:usb3="00000000" w:csb0="0000019F" w:csb1="00000000"/>
    <w:embedRegular r:id="rId10" w:fontKey="{961A71B9-D86C-4262-BD00-BAA499991F7D}"/>
    <w:embedBold r:id="rId11" w:fontKey="{BC2C1BFE-AFEF-4DB0-8C5F-7C4DAFF3013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6A2F7E" w14:textId="77777777" w:rsidR="00DA2EDD" w:rsidRDefault="00DA2EDD">
      <w:pPr>
        <w:spacing w:line="240" w:lineRule="auto"/>
      </w:pPr>
      <w:r>
        <w:separator/>
      </w:r>
    </w:p>
  </w:footnote>
  <w:footnote w:type="continuationSeparator" w:id="0">
    <w:p w14:paraId="005AA9F1" w14:textId="77777777" w:rsidR="00DA2EDD" w:rsidRDefault="00DA2EDD">
      <w:pPr>
        <w:spacing w:line="240" w:lineRule="auto"/>
      </w:pPr>
      <w:r>
        <w:continuationSeparator/>
      </w:r>
    </w:p>
  </w:footnote>
  <w:footnote w:id="1">
    <w:p w14:paraId="0000058B" w14:textId="77777777" w:rsidR="00663CDF" w:rsidRDefault="00F71B39">
      <w:pPr>
        <w:pStyle w:val="Normal0"/>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Para nadie es desconocido que en los últimos 15 años en la vía Cartagena – Turbaco surgen más de 10 urbanizaciones, al igual que en la vía que conecta Turbaco –Arjona y Turbaco-Turbana, otro sinnúmero de Urbanizaciones de clase media y vivienda de interés social. </w:t>
      </w:r>
    </w:p>
  </w:footnote>
  <w:footnote w:id="2">
    <w:p w14:paraId="0000058C" w14:textId="77777777" w:rsidR="00663CDF" w:rsidRDefault="00F71B39">
      <w:pPr>
        <w:pStyle w:val="Normal0"/>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Es preocupante que a pesar de la revisión de los Planes de Desarrollo de los años 2016-2023 y el Informe de avance del Plan de Ordenamiento Territorial (2022-2034 AsoDique), no hay cifras concretas y confiables sobre la cobertura del servicio de agua potable. De allí que esta es la cifra utilizada, además un informe de Acualco del año 2020 coincide con las cifras reseñadas. Véase al respecto. https://www.abnoticiashoy.com/aumenta-la-cobertura-en-la-prestacion-del-servicio-de-agua-potable-en-turbaco/ </w:t>
      </w:r>
    </w:p>
  </w:footnote>
  <w:footnote w:id="3">
    <w:p w14:paraId="0000058D" w14:textId="77777777" w:rsidR="00663CDF" w:rsidRDefault="00F71B39">
      <w:pPr>
        <w:pStyle w:val="Normal0"/>
        <w:pBdr>
          <w:top w:val="nil"/>
          <w:left w:val="nil"/>
          <w:bottom w:val="nil"/>
          <w:right w:val="nil"/>
          <w:between w:val="nil"/>
        </w:pBdr>
        <w:spacing w:line="240" w:lineRule="auto"/>
        <w:rPr>
          <w:color w:val="000000"/>
          <w:sz w:val="18"/>
          <w:szCs w:val="18"/>
        </w:rPr>
      </w:pPr>
      <w:r>
        <w:rPr>
          <w:vertAlign w:val="superscript"/>
        </w:rPr>
        <w:footnoteRef/>
      </w:r>
      <w:r>
        <w:rPr>
          <w:color w:val="000000"/>
          <w:sz w:val="18"/>
          <w:szCs w:val="18"/>
        </w:rPr>
        <w:t xml:space="preserve"> Previamente se evidenció que hubo una actualización catastral en el 2019, cuyos efectos sobre el incremento de los ingresos prediales se reconoce en el cuatrienio 2020-2023. En el caso del ICA los mayores ingresos son: el crecimiento del sector comercial (sector Plan Parejo) y la recuperación de cartera en las empresas ubicadas en la zona de conurbación, sector industrial de Mamonal  </w:t>
      </w:r>
    </w:p>
  </w:footnote>
  <w:footnote w:id="4">
    <w:p w14:paraId="0000058E" w14:textId="77777777" w:rsidR="00663CDF" w:rsidRDefault="00F71B39">
      <w:pPr>
        <w:pStyle w:val="Normal0"/>
        <w:spacing w:after="160" w:line="360" w:lineRule="auto"/>
      </w:pPr>
      <w:r>
        <w:rPr>
          <w:vertAlign w:val="superscript"/>
        </w:rPr>
        <w:footnoteRef/>
      </w:r>
      <w:r>
        <w:t xml:space="preserve">Este análisis esta soportado en los datos del </w:t>
      </w:r>
      <w:r>
        <w:rPr>
          <w:i/>
        </w:rPr>
        <w:t>Informe final del Sisbén 2023.</w:t>
      </w:r>
    </w:p>
    <w:p w14:paraId="0000058F" w14:textId="77777777" w:rsidR="00663CDF" w:rsidRDefault="00663CDF">
      <w:pPr>
        <w:pStyle w:val="Normal0"/>
        <w:pBdr>
          <w:top w:val="nil"/>
          <w:left w:val="nil"/>
          <w:bottom w:val="nil"/>
          <w:right w:val="nil"/>
          <w:between w:val="nil"/>
        </w:pBdr>
        <w:spacing w:line="240" w:lineRule="auto"/>
        <w:rPr>
          <w:color w:val="000000"/>
          <w:sz w:val="20"/>
          <w:szCs w:val="20"/>
        </w:rPr>
      </w:pPr>
    </w:p>
  </w:footnote>
  <w:footnote w:id="5">
    <w:p w14:paraId="00000590" w14:textId="77777777" w:rsidR="00663CDF" w:rsidRDefault="00F71B39">
      <w:pPr>
        <w:pStyle w:val="Normal0"/>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En la práctica los procesos de rendición de cuentas no cumplen con la finalidad establecida en la ley, asimismo los Planes de Desarrollo y los Planes de Ordenamiento Territorial arrastran una deficiencia estructural, como lo es la ausencia de Sistema de Planeación Territorial soportado en un sistema de información.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591" w14:textId="6CF0602B" w:rsidR="00663CDF" w:rsidRDefault="00F71B39">
    <w:pPr>
      <w:pStyle w:val="Normal0"/>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sidR="00AD60C4">
      <w:rPr>
        <w:color w:val="000000"/>
      </w:rPr>
      <w:fldChar w:fldCharType="separate"/>
    </w:r>
    <w:r w:rsidR="00AD60C4">
      <w:rPr>
        <w:noProof/>
        <w:color w:val="000000"/>
      </w:rPr>
      <w:t>1</w:t>
    </w:r>
    <w:r>
      <w:rPr>
        <w:color w:val="000000"/>
      </w:rPr>
      <w:fldChar w:fldCharType="end"/>
    </w:r>
  </w:p>
  <w:p w14:paraId="00000592" w14:textId="77777777" w:rsidR="00663CDF" w:rsidRDefault="00663CDF">
    <w:pPr>
      <w:pStyle w:val="Normal0"/>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2D2BC1"/>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B68370E"/>
    <w:multiLevelType w:val="multilevel"/>
    <w:tmpl w:val="FFFFFFFF"/>
    <w:lvl w:ilvl="0">
      <w:start w:val="4"/>
      <w:numFmt w:val="decimal"/>
      <w:lvlText w:val="%1."/>
      <w:lvlJc w:val="left"/>
      <w:pPr>
        <w:ind w:left="585" w:hanging="585"/>
      </w:pPr>
      <w:rPr>
        <w:b/>
      </w:rPr>
    </w:lvl>
    <w:lvl w:ilvl="1">
      <w:start w:val="7"/>
      <w:numFmt w:val="decimal"/>
      <w:lvlText w:val="%1.%2."/>
      <w:lvlJc w:val="left"/>
      <w:pPr>
        <w:ind w:left="720" w:hanging="720"/>
      </w:pPr>
      <w:rPr>
        <w:b/>
      </w:rPr>
    </w:lvl>
    <w:lvl w:ilvl="2">
      <w:start w:val="2"/>
      <w:numFmt w:val="decimal"/>
      <w:lvlText w:val="%1.%2.%3."/>
      <w:lvlJc w:val="left"/>
      <w:pPr>
        <w:ind w:left="720" w:hanging="720"/>
      </w:pPr>
      <w:rPr>
        <w:b/>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440" w:hanging="144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2" w15:restartNumberingAfterBreak="0">
    <w:nsid w:val="0F8049DD"/>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6"/>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15E53289"/>
    <w:multiLevelType w:val="multilevel"/>
    <w:tmpl w:val="FFFFFFFF"/>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B7E5B63"/>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3"/>
      <w:numFmt w:val="bullet"/>
      <w:lvlText w:val="-"/>
      <w:lvlJc w:val="left"/>
      <w:pPr>
        <w:ind w:left="1785" w:hanging="705"/>
      </w:pPr>
      <w:rPr>
        <w:rFonts w:ascii="Arial" w:eastAsia="Arial" w:hAnsi="Arial" w:cs="Arial"/>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14E57EA"/>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53F20E3"/>
    <w:multiLevelType w:val="multilevel"/>
    <w:tmpl w:val="FFFFFFFF"/>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396816C3"/>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9D85992"/>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3FBC4AC0"/>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40C57C42"/>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43EC6A4C"/>
    <w:multiLevelType w:val="multilevel"/>
    <w:tmpl w:val="FFFFFFFF"/>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5282092D"/>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5560163A"/>
    <w:multiLevelType w:val="multilevel"/>
    <w:tmpl w:val="FFFFFFFF"/>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DAF5238"/>
    <w:multiLevelType w:val="multilevel"/>
    <w:tmpl w:val="FFFFFFFF"/>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5DB94ACA"/>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5F73049E"/>
    <w:multiLevelType w:val="multilevel"/>
    <w:tmpl w:val="FFFFFFFF"/>
    <w:lvl w:ilvl="0">
      <w:start w:val="1"/>
      <w:numFmt w:val="decimal"/>
      <w:lvlText w:val="%1."/>
      <w:lvlJc w:val="left"/>
      <w:pPr>
        <w:ind w:left="720" w:hanging="360"/>
      </w:pPr>
    </w:lvl>
    <w:lvl w:ilvl="1">
      <w:start w:val="1"/>
      <w:numFmt w:val="decimal"/>
      <w:lvlText w:val="%1.%2."/>
      <w:lvlJc w:val="left"/>
      <w:pPr>
        <w:ind w:left="72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7" w15:restartNumberingAfterBreak="0">
    <w:nsid w:val="7617227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77D3B90"/>
    <w:multiLevelType w:val="multilevel"/>
    <w:tmpl w:val="FFFFFFFF"/>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0"/>
  </w:num>
  <w:num w:numId="2">
    <w:abstractNumId w:val="2"/>
  </w:num>
  <w:num w:numId="3">
    <w:abstractNumId w:val="6"/>
  </w:num>
  <w:num w:numId="4">
    <w:abstractNumId w:val="3"/>
  </w:num>
  <w:num w:numId="5">
    <w:abstractNumId w:val="13"/>
  </w:num>
  <w:num w:numId="6">
    <w:abstractNumId w:val="8"/>
  </w:num>
  <w:num w:numId="7">
    <w:abstractNumId w:val="5"/>
  </w:num>
  <w:num w:numId="8">
    <w:abstractNumId w:val="1"/>
  </w:num>
  <w:num w:numId="9">
    <w:abstractNumId w:val="16"/>
  </w:num>
  <w:num w:numId="10">
    <w:abstractNumId w:val="11"/>
  </w:num>
  <w:num w:numId="11">
    <w:abstractNumId w:val="14"/>
  </w:num>
  <w:num w:numId="12">
    <w:abstractNumId w:val="12"/>
  </w:num>
  <w:num w:numId="13">
    <w:abstractNumId w:val="7"/>
  </w:num>
  <w:num w:numId="14">
    <w:abstractNumId w:val="9"/>
  </w:num>
  <w:num w:numId="15">
    <w:abstractNumId w:val="0"/>
  </w:num>
  <w:num w:numId="16">
    <w:abstractNumId w:val="18"/>
  </w:num>
  <w:num w:numId="17">
    <w:abstractNumId w:val="15"/>
  </w:num>
  <w:num w:numId="18">
    <w:abstractNumId w:val="17"/>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3CDF"/>
    <w:rsid w:val="00663CDF"/>
    <w:rsid w:val="007B4EE8"/>
    <w:rsid w:val="00AD60C4"/>
    <w:rsid w:val="00DA2EDD"/>
    <w:rsid w:val="00F71B39"/>
    <w:rsid w:val="113EF3A0"/>
    <w:rsid w:val="7176610A"/>
    <w:rsid w:val="78380D72"/>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F4FF92"/>
  <w15:docId w15:val="{3CA5F1C1-92A8-4280-BADE-5A39DB8B0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4"/>
        <w:szCs w:val="24"/>
        <w:lang w:val="es-CO" w:eastAsia="ja-JP" w:bidi="ar-SA"/>
      </w:rPr>
    </w:rPrDefault>
    <w:pPrDefault>
      <w:pPr>
        <w:spacing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outlineLvl w:val="0"/>
    </w:pPr>
    <w:rPr>
      <w:b/>
    </w:rPr>
  </w:style>
  <w:style w:type="paragraph" w:styleId="Ttulo2">
    <w:name w:val="heading 2"/>
    <w:basedOn w:val="Normal"/>
    <w:next w:val="Normal"/>
    <w:uiPriority w:val="9"/>
    <w:unhideWhenUsed/>
    <w:qFormat/>
    <w:pPr>
      <w:keepNext/>
      <w:keepLines/>
      <w:outlineLvl w:val="1"/>
    </w:pPr>
    <w:rPr>
      <w:b/>
    </w:rPr>
  </w:style>
  <w:style w:type="paragraph" w:styleId="Ttulo3">
    <w:name w:val="heading 3"/>
    <w:basedOn w:val="Normal"/>
    <w:next w:val="Normal"/>
    <w:uiPriority w:val="9"/>
    <w:unhideWhenUsed/>
    <w:qFormat/>
    <w:pPr>
      <w:keepNext/>
      <w:keepLines/>
      <w:outlineLvl w:val="2"/>
    </w:pPr>
    <w:rPr>
      <w:b/>
    </w:rPr>
  </w:style>
  <w:style w:type="paragraph" w:styleId="Ttulo4">
    <w:name w:val="heading 4"/>
    <w:basedOn w:val="Normal"/>
    <w:next w:val="Normal"/>
    <w:uiPriority w:val="9"/>
    <w:unhideWhenUsed/>
    <w:qFormat/>
    <w:pPr>
      <w:keepNext/>
      <w:keepLines/>
      <w:spacing w:before="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pageBreakBefore/>
      <w:spacing w:line="360" w:lineRule="auto"/>
      <w:jc w:val="center"/>
    </w:pPr>
    <w:rPr>
      <w:b/>
      <w:smallCaps/>
    </w:rPr>
  </w:style>
  <w:style w:type="paragraph" w:customStyle="1" w:styleId="Normal0">
    <w:name w:val="Normal0"/>
    <w:qFormat/>
    <w:rsid w:val="00347708"/>
  </w:style>
  <w:style w:type="paragraph" w:customStyle="1" w:styleId="heading10">
    <w:name w:val="heading 10"/>
    <w:basedOn w:val="Normal0"/>
    <w:next w:val="Normal0"/>
    <w:link w:val="Ttulo1Car"/>
    <w:uiPriority w:val="9"/>
    <w:qFormat/>
    <w:rsid w:val="001F2AA2"/>
    <w:pPr>
      <w:keepNext/>
      <w:keepLines/>
      <w:outlineLvl w:val="0"/>
    </w:pPr>
    <w:rPr>
      <w:rFonts w:eastAsiaTheme="majorEastAsia" w:cstheme="majorBidi"/>
      <w:b/>
      <w:szCs w:val="32"/>
    </w:rPr>
  </w:style>
  <w:style w:type="paragraph" w:customStyle="1" w:styleId="heading20">
    <w:name w:val="heading 20"/>
    <w:basedOn w:val="Normal0"/>
    <w:next w:val="Normal0"/>
    <w:link w:val="Ttulo2Car"/>
    <w:uiPriority w:val="9"/>
    <w:unhideWhenUsed/>
    <w:qFormat/>
    <w:rsid w:val="001F2AA2"/>
    <w:pPr>
      <w:keepNext/>
      <w:keepLines/>
      <w:outlineLvl w:val="1"/>
    </w:pPr>
    <w:rPr>
      <w:rFonts w:eastAsiaTheme="majorEastAsia" w:cstheme="majorBidi"/>
      <w:b/>
      <w:szCs w:val="26"/>
    </w:rPr>
  </w:style>
  <w:style w:type="paragraph" w:customStyle="1" w:styleId="heading30">
    <w:name w:val="heading 30"/>
    <w:basedOn w:val="Normal0"/>
    <w:next w:val="Normal0"/>
    <w:link w:val="Ttulo3Car"/>
    <w:uiPriority w:val="9"/>
    <w:unhideWhenUsed/>
    <w:qFormat/>
    <w:rsid w:val="001F2AA2"/>
    <w:pPr>
      <w:keepNext/>
      <w:keepLines/>
      <w:outlineLvl w:val="2"/>
    </w:pPr>
    <w:rPr>
      <w:rFonts w:eastAsiaTheme="majorEastAsia" w:cstheme="majorBidi"/>
      <w:b/>
    </w:rPr>
  </w:style>
  <w:style w:type="paragraph" w:customStyle="1" w:styleId="heading40">
    <w:name w:val="heading 40"/>
    <w:basedOn w:val="Normal0"/>
    <w:next w:val="Normal0"/>
    <w:link w:val="Ttulo4Car"/>
    <w:uiPriority w:val="9"/>
    <w:unhideWhenUsed/>
    <w:qFormat/>
    <w:rsid w:val="008D57ED"/>
    <w:pPr>
      <w:keepNext/>
      <w:keepLines/>
      <w:spacing w:before="40"/>
      <w:outlineLvl w:val="3"/>
    </w:pPr>
    <w:rPr>
      <w:rFonts w:eastAsiaTheme="majorEastAsia" w:cstheme="majorBidi"/>
      <w:b/>
      <w:iCs/>
    </w:rPr>
  </w:style>
  <w:style w:type="table" w:customStyle="1" w:styleId="NormalTable0">
    <w:name w:val="Normal Table0"/>
    <w:uiPriority w:val="99"/>
    <w:semiHidden/>
    <w:unhideWhenUsed/>
    <w:tblPr>
      <w:tblInd w:w="0" w:type="dxa"/>
      <w:tblCellMar>
        <w:top w:w="0" w:type="dxa"/>
        <w:left w:w="108" w:type="dxa"/>
        <w:bottom w:w="0" w:type="dxa"/>
        <w:right w:w="108" w:type="dxa"/>
      </w:tblCellMar>
    </w:tblPr>
  </w:style>
  <w:style w:type="paragraph" w:styleId="Sinespaciado">
    <w:name w:val="No Spacing"/>
    <w:link w:val="SinespaciadoCar"/>
    <w:uiPriority w:val="1"/>
    <w:qFormat/>
    <w:rsid w:val="00DA649E"/>
    <w:pPr>
      <w:spacing w:line="240" w:lineRule="auto"/>
    </w:pPr>
    <w:rPr>
      <w:rFonts w:ascii="Times New Roman" w:hAnsi="Times New Roman"/>
      <w:color w:val="000000"/>
      <w:lang w:eastAsia="es-CO"/>
    </w:rPr>
  </w:style>
  <w:style w:type="character" w:customStyle="1" w:styleId="SinespaciadoCar">
    <w:name w:val="Sin espaciado Car"/>
    <w:basedOn w:val="Fuentedeprrafopredeter"/>
    <w:link w:val="Sinespaciado"/>
    <w:uiPriority w:val="1"/>
    <w:rsid w:val="00DA649E"/>
    <w:rPr>
      <w:rFonts w:ascii="Times New Roman" w:eastAsia="Arial" w:hAnsi="Times New Roman" w:cs="Arial"/>
      <w:color w:val="000000"/>
      <w:kern w:val="0"/>
      <w:sz w:val="24"/>
      <w:szCs w:val="24"/>
      <w:lang w:eastAsia="es-CO"/>
    </w:rPr>
  </w:style>
  <w:style w:type="paragraph" w:customStyle="1" w:styleId="Title0">
    <w:name w:val="Title0"/>
    <w:basedOn w:val="Normal0"/>
    <w:next w:val="Normal0"/>
    <w:link w:val="TtuloCar"/>
    <w:uiPriority w:val="10"/>
    <w:qFormat/>
    <w:rsid w:val="00DA649E"/>
    <w:pPr>
      <w:keepNext/>
      <w:keepLines/>
      <w:pageBreakBefore/>
      <w:spacing w:line="360" w:lineRule="auto"/>
      <w:jc w:val="center"/>
    </w:pPr>
    <w:rPr>
      <w:b/>
      <w:caps/>
      <w:szCs w:val="72"/>
      <w:lang w:eastAsia="es-CO"/>
    </w:rPr>
  </w:style>
  <w:style w:type="character" w:customStyle="1" w:styleId="TtuloCar">
    <w:name w:val="Título Car"/>
    <w:basedOn w:val="Fuentedeprrafopredeter"/>
    <w:link w:val="Title0"/>
    <w:uiPriority w:val="10"/>
    <w:rsid w:val="00DA649E"/>
    <w:rPr>
      <w:rFonts w:ascii="Arial" w:eastAsia="Arial" w:hAnsi="Arial" w:cs="Arial"/>
      <w:b/>
      <w:caps/>
      <w:kern w:val="0"/>
      <w:sz w:val="24"/>
      <w:szCs w:val="72"/>
      <w:lang w:eastAsia="es-CO"/>
    </w:rPr>
  </w:style>
  <w:style w:type="paragraph" w:customStyle="1" w:styleId="Default">
    <w:name w:val="Default"/>
    <w:rsid w:val="00DA649E"/>
    <w:pPr>
      <w:autoSpaceDE w:val="0"/>
      <w:autoSpaceDN w:val="0"/>
      <w:adjustRightInd w:val="0"/>
      <w:spacing w:line="240" w:lineRule="auto"/>
    </w:pPr>
    <w:rPr>
      <w:rFonts w:ascii="Calibri" w:hAnsi="Calibri" w:cs="Calibri"/>
      <w:color w:val="000000"/>
    </w:rPr>
  </w:style>
  <w:style w:type="paragraph" w:styleId="Prrafodelista">
    <w:name w:val="List Paragraph"/>
    <w:basedOn w:val="Normal0"/>
    <w:uiPriority w:val="34"/>
    <w:qFormat/>
    <w:rsid w:val="001F2AA2"/>
    <w:pPr>
      <w:ind w:left="720"/>
      <w:contextualSpacing/>
    </w:pPr>
  </w:style>
  <w:style w:type="character" w:customStyle="1" w:styleId="Ttulo1Car">
    <w:name w:val="Título 1 Car"/>
    <w:basedOn w:val="Fuentedeprrafopredeter"/>
    <w:link w:val="heading10"/>
    <w:uiPriority w:val="9"/>
    <w:rsid w:val="001F2AA2"/>
    <w:rPr>
      <w:rFonts w:ascii="Arial" w:eastAsiaTheme="majorEastAsia" w:hAnsi="Arial" w:cstheme="majorBidi"/>
      <w:b/>
      <w:sz w:val="24"/>
      <w:szCs w:val="32"/>
    </w:rPr>
  </w:style>
  <w:style w:type="character" w:customStyle="1" w:styleId="Ttulo2Car">
    <w:name w:val="Título 2 Car"/>
    <w:basedOn w:val="Fuentedeprrafopredeter"/>
    <w:link w:val="heading20"/>
    <w:uiPriority w:val="9"/>
    <w:rsid w:val="001F2AA2"/>
    <w:rPr>
      <w:rFonts w:ascii="Arial" w:eastAsiaTheme="majorEastAsia" w:hAnsi="Arial" w:cstheme="majorBidi"/>
      <w:b/>
      <w:sz w:val="24"/>
      <w:szCs w:val="26"/>
    </w:rPr>
  </w:style>
  <w:style w:type="character" w:customStyle="1" w:styleId="Ttulo3Car">
    <w:name w:val="Título 3 Car"/>
    <w:basedOn w:val="Fuentedeprrafopredeter"/>
    <w:link w:val="heading30"/>
    <w:uiPriority w:val="9"/>
    <w:rsid w:val="001F2AA2"/>
    <w:rPr>
      <w:rFonts w:ascii="Arial" w:eastAsiaTheme="majorEastAsia" w:hAnsi="Arial" w:cstheme="majorBidi"/>
      <w:b/>
      <w:sz w:val="24"/>
      <w:szCs w:val="24"/>
    </w:rPr>
  </w:style>
  <w:style w:type="paragraph" w:styleId="Encabezado">
    <w:name w:val="header"/>
    <w:basedOn w:val="Normal0"/>
    <w:link w:val="EncabezadoCar"/>
    <w:uiPriority w:val="99"/>
    <w:unhideWhenUsed/>
    <w:rsid w:val="00B12AA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12AAE"/>
    <w:rPr>
      <w:rFonts w:ascii="Arial" w:hAnsi="Arial"/>
      <w:sz w:val="24"/>
    </w:rPr>
  </w:style>
  <w:style w:type="paragraph" w:styleId="Piedepgina">
    <w:name w:val="footer"/>
    <w:basedOn w:val="Normal0"/>
    <w:link w:val="PiedepginaCar"/>
    <w:uiPriority w:val="99"/>
    <w:unhideWhenUsed/>
    <w:rsid w:val="00B12AA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12AAE"/>
    <w:rPr>
      <w:rFonts w:ascii="Arial" w:hAnsi="Arial"/>
      <w:sz w:val="24"/>
    </w:rPr>
  </w:style>
  <w:style w:type="character" w:styleId="Refdecomentario">
    <w:name w:val="annotation reference"/>
    <w:basedOn w:val="Fuentedeprrafopredeter"/>
    <w:uiPriority w:val="99"/>
    <w:semiHidden/>
    <w:unhideWhenUsed/>
    <w:rsid w:val="00335E9C"/>
    <w:rPr>
      <w:sz w:val="16"/>
      <w:szCs w:val="16"/>
    </w:rPr>
  </w:style>
  <w:style w:type="paragraph" w:styleId="Textocomentario">
    <w:name w:val="annotation text"/>
    <w:basedOn w:val="Normal0"/>
    <w:link w:val="TextocomentarioCar"/>
    <w:uiPriority w:val="99"/>
    <w:semiHidden/>
    <w:unhideWhenUsed/>
    <w:rsid w:val="00335E9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35E9C"/>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335E9C"/>
    <w:rPr>
      <w:b/>
      <w:bCs/>
    </w:rPr>
  </w:style>
  <w:style w:type="character" w:customStyle="1" w:styleId="AsuntodelcomentarioCar">
    <w:name w:val="Asunto del comentario Car"/>
    <w:basedOn w:val="TextocomentarioCar"/>
    <w:link w:val="Asuntodelcomentario"/>
    <w:uiPriority w:val="99"/>
    <w:semiHidden/>
    <w:rsid w:val="00335E9C"/>
    <w:rPr>
      <w:rFonts w:ascii="Arial" w:hAnsi="Arial"/>
      <w:b/>
      <w:bCs/>
      <w:sz w:val="20"/>
      <w:szCs w:val="20"/>
    </w:rPr>
  </w:style>
  <w:style w:type="paragraph" w:styleId="Textodeglobo">
    <w:name w:val="Balloon Text"/>
    <w:basedOn w:val="Normal0"/>
    <w:link w:val="TextodegloboCar"/>
    <w:uiPriority w:val="99"/>
    <w:semiHidden/>
    <w:unhideWhenUsed/>
    <w:rsid w:val="00335E9C"/>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35E9C"/>
    <w:rPr>
      <w:rFonts w:ascii="Segoe UI" w:hAnsi="Segoe UI" w:cs="Segoe UI"/>
      <w:sz w:val="18"/>
      <w:szCs w:val="18"/>
    </w:rPr>
  </w:style>
  <w:style w:type="character" w:customStyle="1" w:styleId="Ttulo4Car">
    <w:name w:val="Título 4 Car"/>
    <w:basedOn w:val="Fuentedeprrafopredeter"/>
    <w:link w:val="heading40"/>
    <w:uiPriority w:val="9"/>
    <w:rsid w:val="008D57ED"/>
    <w:rPr>
      <w:rFonts w:ascii="Arial" w:eastAsiaTheme="majorEastAsia" w:hAnsi="Arial" w:cstheme="majorBidi"/>
      <w:b/>
      <w:iCs/>
      <w:sz w:val="24"/>
    </w:rPr>
  </w:style>
  <w:style w:type="table" w:styleId="Tablanormal3">
    <w:name w:val="Plain Table 3"/>
    <w:basedOn w:val="NormalTable0"/>
    <w:uiPriority w:val="43"/>
    <w:rsid w:val="00DA1A72"/>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1">
    <w:name w:val="Plain Table 1"/>
    <w:basedOn w:val="NormalTable0"/>
    <w:uiPriority w:val="41"/>
    <w:rsid w:val="00DA1A72"/>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5">
    <w:name w:val="Plain Table 5"/>
    <w:basedOn w:val="NormalTable0"/>
    <w:uiPriority w:val="45"/>
    <w:rsid w:val="00DA1A72"/>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tuloTDC">
    <w:name w:val="TOC Heading"/>
    <w:basedOn w:val="heading10"/>
    <w:next w:val="Normal0"/>
    <w:uiPriority w:val="39"/>
    <w:unhideWhenUsed/>
    <w:qFormat/>
    <w:rsid w:val="00F05C54"/>
    <w:pPr>
      <w:spacing w:before="240"/>
      <w:jc w:val="left"/>
      <w:outlineLvl w:val="9"/>
    </w:pPr>
    <w:rPr>
      <w:rFonts w:asciiTheme="majorHAnsi" w:hAnsiTheme="majorHAnsi"/>
      <w:b w:val="0"/>
      <w:color w:val="2F5496" w:themeColor="accent1" w:themeShade="BF"/>
      <w:sz w:val="32"/>
      <w:lang w:eastAsia="es-CO"/>
    </w:rPr>
  </w:style>
  <w:style w:type="paragraph" w:styleId="TDC1">
    <w:name w:val="toc 1"/>
    <w:basedOn w:val="Normal0"/>
    <w:next w:val="Normal0"/>
    <w:autoRedefine/>
    <w:uiPriority w:val="39"/>
    <w:unhideWhenUsed/>
    <w:rsid w:val="00F05C54"/>
    <w:pPr>
      <w:spacing w:after="100"/>
    </w:pPr>
  </w:style>
  <w:style w:type="paragraph" w:styleId="TDC2">
    <w:name w:val="toc 2"/>
    <w:basedOn w:val="Normal0"/>
    <w:next w:val="Normal0"/>
    <w:autoRedefine/>
    <w:uiPriority w:val="39"/>
    <w:unhideWhenUsed/>
    <w:rsid w:val="00F05C54"/>
    <w:pPr>
      <w:spacing w:after="100"/>
      <w:ind w:left="240"/>
    </w:pPr>
  </w:style>
  <w:style w:type="paragraph" w:styleId="TDC3">
    <w:name w:val="toc 3"/>
    <w:basedOn w:val="Normal0"/>
    <w:next w:val="Normal0"/>
    <w:autoRedefine/>
    <w:uiPriority w:val="39"/>
    <w:unhideWhenUsed/>
    <w:rsid w:val="009D3295"/>
    <w:pPr>
      <w:tabs>
        <w:tab w:val="left" w:pos="1440"/>
        <w:tab w:val="right" w:leader="dot" w:pos="8828"/>
      </w:tabs>
      <w:spacing w:after="100"/>
    </w:pPr>
  </w:style>
  <w:style w:type="character" w:styleId="Hipervnculo">
    <w:name w:val="Hyperlink"/>
    <w:basedOn w:val="Fuentedeprrafopredeter"/>
    <w:uiPriority w:val="99"/>
    <w:unhideWhenUsed/>
    <w:rsid w:val="00F05C54"/>
    <w:rPr>
      <w:color w:val="0563C1" w:themeColor="hyperlink"/>
      <w:u w:val="single"/>
    </w:rPr>
  </w:style>
  <w:style w:type="paragraph" w:styleId="NormalWeb">
    <w:name w:val="Normal (Web)"/>
    <w:basedOn w:val="Normal0"/>
    <w:uiPriority w:val="99"/>
    <w:unhideWhenUsed/>
    <w:rsid w:val="00292905"/>
    <w:pPr>
      <w:spacing w:before="100" w:beforeAutospacing="1" w:after="100" w:afterAutospacing="1" w:line="240" w:lineRule="auto"/>
      <w:jc w:val="left"/>
    </w:pPr>
    <w:rPr>
      <w:rFonts w:ascii="Times New Roman" w:eastAsia="Times New Roman" w:hAnsi="Times New Roman" w:cs="Times New Roman"/>
      <w:lang w:eastAsia="es-CO"/>
    </w:rPr>
  </w:style>
  <w:style w:type="character" w:styleId="Textoennegrita">
    <w:name w:val="Strong"/>
    <w:basedOn w:val="Fuentedeprrafopredeter"/>
    <w:uiPriority w:val="22"/>
    <w:qFormat/>
    <w:rsid w:val="00292905"/>
    <w:rPr>
      <w:b/>
      <w:bCs/>
    </w:rPr>
  </w:style>
  <w:style w:type="paragraph" w:styleId="Revisin">
    <w:name w:val="Revision"/>
    <w:hidden/>
    <w:uiPriority w:val="99"/>
    <w:semiHidden/>
    <w:rsid w:val="004523EC"/>
    <w:pPr>
      <w:spacing w:line="240" w:lineRule="auto"/>
    </w:pPr>
  </w:style>
  <w:style w:type="character" w:styleId="nfasis">
    <w:name w:val="Emphasis"/>
    <w:basedOn w:val="Fuentedeprrafopredeter"/>
    <w:uiPriority w:val="20"/>
    <w:qFormat/>
    <w:rsid w:val="00EA0E16"/>
    <w:rPr>
      <w:i/>
      <w:iCs/>
    </w:rPr>
  </w:style>
  <w:style w:type="table" w:styleId="Tablaconcuadrculaclara">
    <w:name w:val="Grid Table Light"/>
    <w:basedOn w:val="NormalTable0"/>
    <w:uiPriority w:val="40"/>
    <w:rsid w:val="0093043F"/>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
    <w:name w:val="Table Grid"/>
    <w:basedOn w:val="NormalTable0"/>
    <w:uiPriority w:val="39"/>
    <w:rsid w:val="006653C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s">
    <w:name w:val="Tablas"/>
    <w:basedOn w:val="Normal0"/>
    <w:link w:val="TablasCar"/>
    <w:qFormat/>
    <w:rsid w:val="0014778D"/>
    <w:pPr>
      <w:spacing w:after="160"/>
    </w:pPr>
    <w:rPr>
      <w:rFonts w:cs="Times New Roman"/>
      <w:b/>
      <w:bCs/>
    </w:rPr>
  </w:style>
  <w:style w:type="character" w:customStyle="1" w:styleId="TablasCar">
    <w:name w:val="Tablas Car"/>
    <w:basedOn w:val="Fuentedeprrafopredeter"/>
    <w:link w:val="Tablas"/>
    <w:rsid w:val="0014778D"/>
    <w:rPr>
      <w:rFonts w:ascii="Arial" w:hAnsi="Arial" w:cs="Times New Roman"/>
      <w:b/>
      <w:bCs/>
      <w:sz w:val="24"/>
      <w:szCs w:val="24"/>
    </w:rPr>
  </w:style>
  <w:style w:type="paragraph" w:customStyle="1" w:styleId="GRAFICO">
    <w:name w:val="GRAFICO"/>
    <w:basedOn w:val="Normal0"/>
    <w:link w:val="GRAFICOCar"/>
    <w:qFormat/>
    <w:rsid w:val="0014778D"/>
    <w:pPr>
      <w:spacing w:line="360" w:lineRule="auto"/>
    </w:pPr>
    <w:rPr>
      <w:b/>
      <w:bCs/>
      <w:lang w:val="es-ES"/>
    </w:rPr>
  </w:style>
  <w:style w:type="character" w:customStyle="1" w:styleId="GRAFICOCar">
    <w:name w:val="GRAFICO Car"/>
    <w:basedOn w:val="Fuentedeprrafopredeter"/>
    <w:link w:val="GRAFICO"/>
    <w:rsid w:val="0014778D"/>
    <w:rPr>
      <w:rFonts w:ascii="Arial" w:hAnsi="Arial"/>
      <w:b/>
      <w:bCs/>
      <w:sz w:val="24"/>
      <w:lang w:val="es-ES"/>
    </w:rPr>
  </w:style>
  <w:style w:type="paragraph" w:styleId="Textonotapie">
    <w:name w:val="footnote text"/>
    <w:basedOn w:val="Normal0"/>
    <w:link w:val="TextonotapieCar"/>
    <w:uiPriority w:val="99"/>
    <w:semiHidden/>
    <w:unhideWhenUsed/>
    <w:rsid w:val="00B5073E"/>
    <w:pPr>
      <w:spacing w:line="240" w:lineRule="auto"/>
    </w:pPr>
    <w:rPr>
      <w:sz w:val="20"/>
      <w:szCs w:val="20"/>
    </w:rPr>
  </w:style>
  <w:style w:type="character" w:customStyle="1" w:styleId="TextonotapieCar">
    <w:name w:val="Texto nota pie Car"/>
    <w:basedOn w:val="Fuentedeprrafopredeter"/>
    <w:link w:val="Textonotapie"/>
    <w:uiPriority w:val="99"/>
    <w:semiHidden/>
    <w:rsid w:val="00B5073E"/>
    <w:rPr>
      <w:rFonts w:ascii="Arial" w:hAnsi="Arial"/>
      <w:sz w:val="20"/>
      <w:szCs w:val="20"/>
    </w:rPr>
  </w:style>
  <w:style w:type="character" w:styleId="Refdenotaalpie">
    <w:name w:val="footnote reference"/>
    <w:basedOn w:val="Fuentedeprrafopredeter"/>
    <w:uiPriority w:val="99"/>
    <w:semiHidden/>
    <w:unhideWhenUsed/>
    <w:rsid w:val="00B5073E"/>
    <w:rPr>
      <w:vertAlign w:val="superscript"/>
    </w:rPr>
  </w:style>
  <w:style w:type="character" w:customStyle="1" w:styleId="Mencinsinresolver1">
    <w:name w:val="Mención sin resolver1"/>
    <w:basedOn w:val="Fuentedeprrafopredeter"/>
    <w:uiPriority w:val="99"/>
    <w:semiHidden/>
    <w:unhideWhenUsed/>
    <w:rsid w:val="00AA6208"/>
    <w:rPr>
      <w:color w:val="605E5C"/>
      <w:shd w:val="clear" w:color="auto" w:fill="E1DFDD"/>
    </w:rPr>
  </w:style>
  <w:style w:type="character" w:customStyle="1" w:styleId="Mencinsinresolver2">
    <w:name w:val="Mención sin resolver2"/>
    <w:basedOn w:val="Fuentedeprrafopredeter"/>
    <w:uiPriority w:val="99"/>
    <w:semiHidden/>
    <w:unhideWhenUsed/>
    <w:rsid w:val="00A06FA5"/>
    <w:rPr>
      <w:color w:val="605E5C"/>
      <w:shd w:val="clear" w:color="auto" w:fill="E1DFDD"/>
    </w:rPr>
  </w:style>
  <w:style w:type="paragraph" w:styleId="Subttulo">
    <w:name w:val="Subtitle"/>
    <w:basedOn w:val="Normal0"/>
    <w:next w:val="Normal0"/>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pPr>
      <w:spacing w:line="240" w:lineRule="auto"/>
    </w:pPr>
    <w:tblPr>
      <w:tblStyleRowBandSize w:val="1"/>
      <w:tblStyleColBandSize w:val="1"/>
    </w:tblPr>
    <w:tblStylePr w:type="firstRow">
      <w:rPr>
        <w:b/>
      </w:rPr>
    </w:tblStylePr>
    <w:tblStylePr w:type="lastRow">
      <w:rPr>
        <w:b/>
      </w:rPr>
      <w:tblPr/>
      <w:tcPr>
        <w:tcBorders>
          <w:top w:val="single" w:sz="4" w:space="0" w:color="BFBFBF"/>
        </w:tcBorders>
      </w:tc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0">
    <w:basedOn w:val="Tablanormal"/>
    <w:pPr>
      <w:spacing w:line="240" w:lineRule="auto"/>
    </w:pPr>
    <w:tblPr>
      <w:tblStyleRowBandSize w:val="1"/>
      <w:tblStyleColBandSize w:val="1"/>
    </w:tblPr>
  </w:style>
  <w:style w:type="table" w:customStyle="1" w:styleId="a1">
    <w:basedOn w:val="Tablanormal"/>
    <w:pPr>
      <w:spacing w:line="240" w:lineRule="auto"/>
    </w:pPr>
    <w:tblPr>
      <w:tblStyleRowBandSize w:val="1"/>
      <w:tblStyleColBandSize w:val="1"/>
    </w:tblPr>
  </w:style>
  <w:style w:type="table" w:customStyle="1" w:styleId="a2">
    <w:basedOn w:val="Tablanormal"/>
    <w:pPr>
      <w:spacing w:line="240" w:lineRule="auto"/>
    </w:pPr>
    <w:tblPr>
      <w:tblStyleRowBandSize w:val="1"/>
      <w:tblStyleColBandSize w:val="1"/>
    </w:tblPr>
  </w:style>
  <w:style w:type="table" w:customStyle="1" w:styleId="a3">
    <w:basedOn w:val="Tablanormal"/>
    <w:tblPr>
      <w:tblStyleRowBandSize w:val="1"/>
      <w:tblStyleColBandSize w:val="1"/>
      <w:tblCellMar>
        <w:left w:w="70" w:type="dxa"/>
        <w:right w:w="70" w:type="dxa"/>
      </w:tblCellMar>
    </w:tblPr>
  </w:style>
  <w:style w:type="table" w:customStyle="1" w:styleId="a4">
    <w:basedOn w:val="Tablanormal"/>
    <w:tblPr>
      <w:tblStyleRowBandSize w:val="1"/>
      <w:tblStyleColBandSize w:val="1"/>
      <w:tblCellMar>
        <w:left w:w="70" w:type="dxa"/>
        <w:right w:w="70" w:type="dxa"/>
      </w:tblCellMar>
    </w:tblPr>
  </w:style>
  <w:style w:type="table" w:customStyle="1" w:styleId="a5">
    <w:basedOn w:val="Tablanormal"/>
    <w:pPr>
      <w:spacing w:line="240" w:lineRule="auto"/>
    </w:pPr>
    <w:tblPr>
      <w:tblStyleRowBandSize w:val="1"/>
      <w:tblStyleColBandSize w:val="1"/>
    </w:tblPr>
  </w:style>
  <w:style w:type="table" w:customStyle="1" w:styleId="a6">
    <w:basedOn w:val="Tablanormal"/>
    <w:pPr>
      <w:spacing w:line="240" w:lineRule="auto"/>
    </w:pPr>
    <w:tblPr>
      <w:tblStyleRowBandSize w:val="1"/>
      <w:tblStyleColBandSize w:val="1"/>
    </w:tblPr>
  </w:style>
  <w:style w:type="table" w:customStyle="1" w:styleId="a7">
    <w:basedOn w:val="Tablanormal"/>
    <w:pPr>
      <w:spacing w:line="240" w:lineRule="auto"/>
    </w:pPr>
    <w:tblPr>
      <w:tblStyleRowBandSize w:val="1"/>
      <w:tblStyleColBandSize w:val="1"/>
    </w:tblPr>
  </w:style>
  <w:style w:type="table" w:customStyle="1" w:styleId="a8">
    <w:basedOn w:val="Tablanormal"/>
    <w:pPr>
      <w:spacing w:line="240" w:lineRule="auto"/>
    </w:pPr>
    <w:tblPr>
      <w:tblStyleRowBandSize w:val="1"/>
      <w:tblStyleColBandSize w:val="1"/>
    </w:tblPr>
  </w:style>
  <w:style w:type="table" w:customStyle="1" w:styleId="a9">
    <w:basedOn w:val="Tablanormal"/>
    <w:pPr>
      <w:spacing w:line="240" w:lineRule="auto"/>
    </w:pPr>
    <w:tblPr>
      <w:tblStyleRowBandSize w:val="1"/>
      <w:tblStyleColBandSize w:val="1"/>
    </w:tblPr>
  </w:style>
  <w:style w:type="table" w:customStyle="1" w:styleId="aa">
    <w:basedOn w:val="Tablanormal"/>
    <w:pPr>
      <w:spacing w:line="240" w:lineRule="auto"/>
    </w:pPr>
    <w:tblPr>
      <w:tblStyleRowBandSize w:val="1"/>
      <w:tblStyleColBandSize w:val="1"/>
    </w:tblPr>
  </w:style>
  <w:style w:type="table" w:customStyle="1" w:styleId="ab">
    <w:basedOn w:val="Tablanormal"/>
    <w:pPr>
      <w:spacing w:line="240" w:lineRule="auto"/>
    </w:pPr>
    <w:tblPr>
      <w:tblStyleRowBandSize w:val="1"/>
      <w:tblStyleColBandSize w:val="1"/>
    </w:tblPr>
  </w:style>
  <w:style w:type="table" w:customStyle="1" w:styleId="ac">
    <w:basedOn w:val="Tablanormal"/>
    <w:pPr>
      <w:spacing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6.png"/><Relationship Id="rId13" Type="http://schemas.openxmlformats.org/officeDocument/2006/relationships/image" Target="media/image5.png"/><Relationship Id="rId18" Type="http://schemas.openxmlformats.org/officeDocument/2006/relationships/hyperlink" Target="https://www.dane.gov.co" TargetMode="Externa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dane.gov.co" TargetMode="External"/><Relationship Id="rId2" Type="http://schemas.openxmlformats.org/officeDocument/2006/relationships/numbering" Target="numbering.xml"/><Relationship Id="rId16" Type="http://schemas.openxmlformats.org/officeDocument/2006/relationships/hyperlink" Target="https://doi.org/10.19053/22565779.3780" TargetMode="External"/><Relationship Id="rId20" Type="http://schemas.openxmlformats.org/officeDocument/2006/relationships/hyperlink" Target="https://n9.cl/1xxc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turbaco-bolivar.gov.co/NuestraAlcaldia/PublishingImages/Paginas/Organigrama/DECRETO%20196%20ESTRUCTURA%20ORGANICA.pdf"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bolivar.gov.co/"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turbaco-bolivar.gov.co/NuestraAlcaldia/PublishingImages/Paginas/Organigrama/DECRETO%20197%20PLANTA%20DE%20PERSONAL.pdf" TargetMode="External"/><Relationship Id="rId22"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1+/mMdIou98d4Jqoe9025Al5g==">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28288</Words>
  <Characters>155587</Characters>
  <Application>Microsoft Office Word</Application>
  <DocSecurity>0</DocSecurity>
  <Lines>1296</Lines>
  <Paragraphs>367</Paragraphs>
  <ScaleCrop>false</ScaleCrop>
  <Company/>
  <LinksUpToDate>false</LinksUpToDate>
  <CharactersWithSpaces>183508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 Javier Maza Avila</dc:creator>
  <cp:lastModifiedBy>HP</cp:lastModifiedBy>
  <cp:revision>2</cp:revision>
  <dcterms:created xsi:type="dcterms:W3CDTF">2025-07-25T13:41:00Z</dcterms:created>
  <dcterms:modified xsi:type="dcterms:W3CDTF">2025-07-25T13:41:00Z</dcterms:modified>
</cp:coreProperties>
</file>